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sz w:val="28"/>
          <w:szCs w:val="28"/>
          <w:lang w:val="en-US" w:eastAsia="zh-CN"/>
        </w:rPr>
      </w:pPr>
      <w:r>
        <w:rPr>
          <w:rFonts w:hint="eastAsia"/>
          <w:sz w:val="28"/>
          <w:szCs w:val="28"/>
          <w:lang w:val="en-US" w:eastAsia="zh-CN"/>
        </w:rPr>
        <w:t>附件1</w:t>
      </w:r>
    </w:p>
    <w:p>
      <w:pPr>
        <w:jc w:val="center"/>
        <w:rPr>
          <w:rFonts w:hint="default"/>
          <w:sz w:val="36"/>
          <w:szCs w:val="36"/>
          <w:u w:val="none"/>
          <w:lang w:val="en-US" w:eastAsia="zh-CN"/>
        </w:rPr>
      </w:pPr>
      <w:r>
        <w:rPr>
          <w:rFonts w:hint="eastAsia"/>
          <w:sz w:val="36"/>
          <w:szCs w:val="36"/>
          <w:lang w:val="en-US" w:eastAsia="zh-CN"/>
        </w:rPr>
        <w:t>办公家具采购需求表</w:t>
      </w:r>
    </w:p>
    <w:p>
      <w:pPr>
        <w:tabs>
          <w:tab w:val="left" w:pos="867"/>
        </w:tabs>
        <w:bidi w:val="0"/>
        <w:jc w:val="left"/>
        <w:rPr>
          <w:rFonts w:hint="default"/>
          <w:lang w:val="en-US" w:eastAsia="zh-CN"/>
        </w:rPr>
      </w:pPr>
      <w:r>
        <w:rPr>
          <w:rFonts w:hint="eastAsia"/>
          <w:lang w:val="en-US" w:eastAsia="zh-CN"/>
        </w:rPr>
        <w:tab/>
      </w:r>
    </w:p>
    <w:tbl>
      <w:tblPr>
        <w:tblStyle w:val="8"/>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73"/>
        <w:gridCol w:w="2847"/>
        <w:gridCol w:w="4536"/>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7" w:type="dxa"/>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序号</w:t>
            </w:r>
          </w:p>
        </w:tc>
        <w:tc>
          <w:tcPr>
            <w:tcW w:w="773" w:type="dxa"/>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货物名称</w:t>
            </w:r>
          </w:p>
        </w:tc>
        <w:tc>
          <w:tcPr>
            <w:tcW w:w="2847" w:type="dxa"/>
            <w:vAlign w:val="center"/>
          </w:tcPr>
          <w:p>
            <w:pPr>
              <w:widowControl/>
              <w:jc w:val="center"/>
              <w:textAlignment w:val="center"/>
              <w:rPr>
                <w:rFonts w:hint="eastAsia" w:ascii="宋体" w:hAnsi="宋体" w:eastAsia="宋体" w:cs="宋体"/>
                <w:b/>
                <w:bCs/>
                <w:color w:val="000000"/>
                <w:sz w:val="24"/>
                <w:lang w:val="en" w:eastAsia="zh-CN"/>
              </w:rPr>
            </w:pPr>
            <w:r>
              <w:rPr>
                <w:rFonts w:hint="eastAsia" w:ascii="宋体" w:hAnsi="宋体" w:eastAsia="宋体" w:cs="宋体"/>
                <w:b/>
                <w:bCs/>
                <w:color w:val="000000"/>
                <w:sz w:val="24"/>
                <w:lang w:val="en" w:eastAsia="zh-CN"/>
              </w:rPr>
              <w:t>例图</w:t>
            </w:r>
            <w:bookmarkStart w:id="0" w:name="_GoBack"/>
            <w:bookmarkEnd w:id="0"/>
          </w:p>
        </w:tc>
        <w:tc>
          <w:tcPr>
            <w:tcW w:w="4536" w:type="dxa"/>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技术参数</w:t>
            </w:r>
          </w:p>
        </w:tc>
        <w:tc>
          <w:tcPr>
            <w:tcW w:w="709" w:type="dxa"/>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数量</w:t>
            </w:r>
          </w:p>
        </w:tc>
        <w:tc>
          <w:tcPr>
            <w:tcW w:w="709" w:type="dxa"/>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45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会议桌</w:t>
            </w:r>
          </w:p>
        </w:tc>
        <w:tc>
          <w:tcPr>
            <w:tcW w:w="284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76200</wp:posOffset>
                  </wp:positionH>
                  <wp:positionV relativeFrom="paragraph">
                    <wp:posOffset>1234440</wp:posOffset>
                  </wp:positionV>
                  <wp:extent cx="1581150" cy="346710"/>
                  <wp:effectExtent l="0" t="0" r="0" b="15240"/>
                  <wp:wrapNone/>
                  <wp:docPr id="16" name="图片_6"/>
                  <wp:cNvGraphicFramePr/>
                  <a:graphic xmlns:a="http://schemas.openxmlformats.org/drawingml/2006/main">
                    <a:graphicData uri="http://schemas.openxmlformats.org/drawingml/2006/picture">
                      <pic:pic xmlns:pic="http://schemas.openxmlformats.org/drawingml/2006/picture">
                        <pic:nvPicPr>
                          <pic:cNvPr id="16" name="图片_6"/>
                          <pic:cNvPicPr/>
                        </pic:nvPicPr>
                        <pic:blipFill>
                          <a:blip r:embed="rId5"/>
                          <a:stretch>
                            <a:fillRect/>
                          </a:stretch>
                        </pic:blipFill>
                        <pic:spPr>
                          <a:xfrm>
                            <a:off x="0" y="0"/>
                            <a:ext cx="1581150" cy="34671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93345</wp:posOffset>
                  </wp:positionH>
                  <wp:positionV relativeFrom="paragraph">
                    <wp:posOffset>772160</wp:posOffset>
                  </wp:positionV>
                  <wp:extent cx="1611630" cy="396240"/>
                  <wp:effectExtent l="0" t="0" r="7620" b="3810"/>
                  <wp:wrapNone/>
                  <wp:docPr id="17" name="图片_5"/>
                  <wp:cNvGraphicFramePr/>
                  <a:graphic xmlns:a="http://schemas.openxmlformats.org/drawingml/2006/main">
                    <a:graphicData uri="http://schemas.openxmlformats.org/drawingml/2006/picture">
                      <pic:pic xmlns:pic="http://schemas.openxmlformats.org/drawingml/2006/picture">
                        <pic:nvPicPr>
                          <pic:cNvPr id="17" name="图片_5"/>
                          <pic:cNvPicPr/>
                        </pic:nvPicPr>
                        <pic:blipFill>
                          <a:blip r:embed="rId6"/>
                          <a:stretch>
                            <a:fillRect/>
                          </a:stretch>
                        </pic:blipFill>
                        <pic:spPr>
                          <a:xfrm>
                            <a:off x="0" y="0"/>
                            <a:ext cx="1611630" cy="39624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209550</wp:posOffset>
                  </wp:positionH>
                  <wp:positionV relativeFrom="paragraph">
                    <wp:posOffset>76835</wp:posOffset>
                  </wp:positionV>
                  <wp:extent cx="1381760" cy="715645"/>
                  <wp:effectExtent l="0" t="0" r="8890" b="8255"/>
                  <wp:wrapNone/>
                  <wp:docPr id="18" name="图片_2"/>
                  <wp:cNvGraphicFramePr/>
                  <a:graphic xmlns:a="http://schemas.openxmlformats.org/drawingml/2006/main">
                    <a:graphicData uri="http://schemas.openxmlformats.org/drawingml/2006/picture">
                      <pic:pic xmlns:pic="http://schemas.openxmlformats.org/drawingml/2006/picture">
                        <pic:nvPicPr>
                          <pic:cNvPr id="18" name="图片_2"/>
                          <pic:cNvPicPr/>
                        </pic:nvPicPr>
                        <pic:blipFill>
                          <a:blip r:embed="rId7"/>
                          <a:stretch>
                            <a:fillRect/>
                          </a:stretch>
                        </pic:blipFill>
                        <pic:spPr>
                          <a:xfrm>
                            <a:off x="0" y="0"/>
                            <a:ext cx="1381760" cy="715645"/>
                          </a:xfrm>
                          <a:prstGeom prst="rect">
                            <a:avLst/>
                          </a:prstGeom>
                          <a:noFill/>
                          <a:ln>
                            <a:noFill/>
                          </a:ln>
                        </pic:spPr>
                      </pic:pic>
                    </a:graphicData>
                  </a:graphic>
                </wp:anchor>
              </w:drawing>
            </w:r>
          </w:p>
        </w:tc>
        <w:tc>
          <w:tcPr>
            <w:tcW w:w="4536" w:type="dxa"/>
            <w:vAlign w:val="center"/>
          </w:tcPr>
          <w:p>
            <w:pPr>
              <w:adjustRightInd w:val="0"/>
              <w:snapToGrid w:val="0"/>
              <w:spacing w:line="40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规格：6000*2000*760mm。</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1、主要材料：板材采用</w:t>
            </w:r>
            <w:r>
              <w:rPr>
                <w:rFonts w:hint="eastAsia" w:ascii="宋体" w:hAnsi="宋体" w:eastAsia="宋体" w:cs="宋体"/>
                <w:color w:val="000000"/>
                <w:kern w:val="0"/>
                <w:sz w:val="21"/>
                <w:szCs w:val="21"/>
                <w:lang w:val="en-US" w:eastAsia="zh-CN"/>
              </w:rPr>
              <w:t>实木多层板</w:t>
            </w:r>
            <w:r>
              <w:rPr>
                <w:rFonts w:hint="eastAsia" w:ascii="宋体" w:hAnsi="宋体" w:eastAsia="宋体" w:cs="宋体"/>
                <w:color w:val="000000"/>
                <w:kern w:val="0"/>
                <w:sz w:val="21"/>
                <w:szCs w:val="21"/>
              </w:rPr>
              <w:t>，木皮饰面，环保油漆涂饰，台面厚度不低于85mm。</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cs="宋体"/>
                <w:kern w:val="0"/>
                <w:sz w:val="21"/>
                <w:szCs w:val="21"/>
              </w:rPr>
              <w:t>★实木多层板：</w:t>
            </w:r>
            <w:r>
              <w:rPr>
                <w:rFonts w:hint="eastAsia" w:ascii="宋体" w:hAnsi="宋体"/>
                <w:sz w:val="21"/>
                <w:szCs w:val="21"/>
              </w:rPr>
              <w:t>尺寸偏差合格，外观质量合格；理化性能（含水率、胶合强度、浸渍剥离、静曲强度和弹性模量）合格，</w:t>
            </w:r>
            <w:r>
              <w:rPr>
                <w:rFonts w:ascii="宋体" w:hAnsi="宋体"/>
                <w:sz w:val="21"/>
                <w:szCs w:val="21"/>
              </w:rPr>
              <w:t>甲醛释放量≤0.124mg/m³</w:t>
            </w:r>
            <w:r>
              <w:rPr>
                <w:rFonts w:hint="eastAsia" w:ascii="宋体" w:hAnsi="宋体"/>
                <w:sz w:val="21"/>
                <w:szCs w:val="21"/>
              </w:rPr>
              <w:t>；</w:t>
            </w:r>
            <w:r>
              <w:rPr>
                <w:rFonts w:ascii="宋体" w:hAnsi="宋体"/>
                <w:sz w:val="21"/>
                <w:szCs w:val="21"/>
              </w:rPr>
              <w:t>挥发性有机化合物（72h）</w:t>
            </w:r>
            <w:r>
              <w:rPr>
                <w:rFonts w:hint="eastAsia" w:ascii="宋体" w:hAnsi="宋体"/>
                <w:sz w:val="21"/>
                <w:szCs w:val="21"/>
              </w:rPr>
              <w:t>苯、甲苯、二甲苯、T</w:t>
            </w:r>
            <w:r>
              <w:rPr>
                <w:rFonts w:ascii="宋体" w:hAnsi="宋体"/>
                <w:sz w:val="21"/>
                <w:szCs w:val="21"/>
              </w:rPr>
              <w:t>VOC</w:t>
            </w:r>
            <w:r>
              <w:rPr>
                <w:rFonts w:hint="eastAsia" w:ascii="宋体" w:hAnsi="宋体"/>
                <w:sz w:val="21"/>
                <w:szCs w:val="21"/>
              </w:rPr>
              <w:t>合格；符合</w:t>
            </w:r>
            <w:r>
              <w:rPr>
                <w:rFonts w:ascii="宋体" w:hAnsi="宋体"/>
                <w:sz w:val="21"/>
                <w:szCs w:val="21"/>
              </w:rPr>
              <w:t>GB/T 9846-2015</w:t>
            </w:r>
            <w:r>
              <w:rPr>
                <w:rFonts w:hint="eastAsia" w:ascii="宋体" w:hAnsi="宋体"/>
                <w:sz w:val="21"/>
                <w:szCs w:val="21"/>
              </w:rPr>
              <w:t>标准要求。</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油漆：VOC含量≤650g/L，总铅（Pb）含量≤90mg/kg，可溶性重金属含量（镉、铬、汞）合格，苯含量≤0.1%，甲苯与二甲苯（含乙苯）总和含量≤20%，游离二异氰酸酯总和含量≤0.2%，卤代烃总和含量≤0.1%；涂膜外观正常，贮存稳定性无异常，铅笔硬度（擦伤）≥HB，附着力≤1级，耐干热性≤2级，耐磨性≤0.050g，耐水性无异常，耐碱性无异常，耐醇性无异常，耐污染性无异常。</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、★三合一连接件：主要尺寸与角度、外观、理化性能、力学性能等检测合格；经过人造气氛腐蚀试验（中性盐雾NSS、乙酸盐雾AASS、铜加速乙酸盐雾CASS），保护评级达到最好的10级，外观评级达到最好的10级。</w:t>
            </w:r>
          </w:p>
          <w:p>
            <w:pPr>
              <w:widowControl/>
              <w:jc w:val="left"/>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、★会议桌：符合《GB/T 3324-2017 木家具通用技术条件》标准要求；桌类主要尺寸、产品外形尺寸偏差、邻边垂直度、翘曲度、平整度、底脚平稳性、人造板件外观、木工要求、漆膜外观要求、漆膜耐液性、漆膜耐湿热、漆膜耐干热、漆膜附着力、漆膜耐冷热温差、漆膜耐磨性、漆膜抗冲击、桌类垂直静载荷试验、桌类水平静载荷试验、桌面垂直冲击试验、桌腿跌落试验、桌面水平耐久性试验、桌类垂直加载稳定性试验、桌类垂直和水平加载稳定性试验等均检测合格；木制件甲醛释放量≤1.5 mg/L，木制件涂层可溶性重金属含量(可溶性铅、可溶性镉、可溶性铬、可溶性汞)检测合格。</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延米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45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会议椅</w:t>
            </w:r>
          </w:p>
        </w:tc>
        <w:tc>
          <w:tcPr>
            <w:tcW w:w="284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600075</wp:posOffset>
                  </wp:positionH>
                  <wp:positionV relativeFrom="paragraph">
                    <wp:posOffset>228600</wp:posOffset>
                  </wp:positionV>
                  <wp:extent cx="775970" cy="1063625"/>
                  <wp:effectExtent l="0" t="0" r="5080" b="3175"/>
                  <wp:wrapNone/>
                  <wp:docPr id="19" name="图片_3"/>
                  <wp:cNvGraphicFramePr/>
                  <a:graphic xmlns:a="http://schemas.openxmlformats.org/drawingml/2006/main">
                    <a:graphicData uri="http://schemas.openxmlformats.org/drawingml/2006/picture">
                      <pic:pic xmlns:pic="http://schemas.openxmlformats.org/drawingml/2006/picture">
                        <pic:nvPicPr>
                          <pic:cNvPr id="19" name="图片_3"/>
                          <pic:cNvPicPr/>
                        </pic:nvPicPr>
                        <pic:blipFill>
                          <a:blip r:embed="rId8"/>
                          <a:stretch>
                            <a:fillRect/>
                          </a:stretch>
                        </pic:blipFill>
                        <pic:spPr>
                          <a:xfrm>
                            <a:off x="0" y="0"/>
                            <a:ext cx="775970" cy="1063625"/>
                          </a:xfrm>
                          <a:prstGeom prst="rect">
                            <a:avLst/>
                          </a:prstGeom>
                          <a:noFill/>
                          <a:ln>
                            <a:noFill/>
                          </a:ln>
                        </pic:spPr>
                      </pic:pic>
                    </a:graphicData>
                  </a:graphic>
                </wp:anchor>
              </w:drawing>
            </w:r>
          </w:p>
        </w:tc>
        <w:tc>
          <w:tcPr>
            <w:tcW w:w="4536" w:type="dxa"/>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规格：常规。</w:t>
            </w:r>
            <w:r>
              <w:rPr>
                <w:rFonts w:hint="eastAsia" w:ascii="宋体" w:hAnsi="宋体" w:eastAsia="宋体" w:cs="宋体"/>
                <w:color w:val="000000"/>
                <w:kern w:val="0"/>
                <w:sz w:val="21"/>
                <w:szCs w:val="21"/>
              </w:rPr>
              <w:t>1、覆面采用环保PU皮，皮面柔软舒适，纹理细腻耐用；内填充环保型高密度、高回弹PU泡绵，圆润厚实，弹性好。</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2、椅子坐背板采用热压多层曲木板；脚架及整体框架采用橡胶木，经脱脂、烘干、防虫等处理。</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PU皮：pH4.0～9.0，甲醛≤75mg/kg，可萃取的重金属（锑、砷、铅、镉、铬、铬六价、钴、铜、镍、汞）含量合格，重金属总量（铅、镉）含量合格，可裂解出致癌芳香胺的偶氮染料≤30mg/kg，五氯苯酚≤0.5mg/kg，色牢度（沾色）（耐水、耐酸汗液、耐碱汗液、耐干摩擦）≥4级，无异常气味。</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海绵：感官要求合格；物理力学性能（25％压陷硬度、65％/25％压陷比、75％压缩永久变形、回弹率、拉伸强度、伸长率、撕裂强度、干热老化后拉伸强度、干热老化后拉伸强度变化率、湿热老化后拉伸强度、湿热老化后拉伸强度变化率）合格；恒定负荷反复压陷疲劳性能≤30％；泡沫塑料阻燃性能合格。</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5、★胶水：游离甲醛≤1.0g/kg，苯≤0.20g/kg，甲苯+二甲苯≤10g/kg，总挥发性有机物≤110g/L；卤代烃不得检出；外观乳白色，无可视粗颗粒或异物，pH值3～7，黏度≥0.5Pa·s。</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油漆：VOC含量≤650g/L，总铅（Pb）含量≤90mg/kg，可溶性重金属含量（镉、铬、汞）合格，苯含量≤0.1%，甲苯与二甲苯（含乙苯）总和含量≤20%，游离二异氰酸酯总和含量≤0.2%，卤代烃总和含量≤0.1%；涂膜外观正常，贮存稳定性无异常，铅笔硬度（擦伤）≥HB，附着力≤1级，耐干热性≤2级，耐磨性≤0.050g，耐水性无异常，耐碱性无异常，耐醇性无异常，耐污染性无异常。</w:t>
            </w:r>
          </w:p>
          <w:p>
            <w:pPr>
              <w:widowControl/>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7、★会议椅：符合《QB/T 2280-2016 办公家具 办公椅》标准要求；主要尺寸、形状和位置公差、软硬包件外观、木制件外观、软质聚氨酯泡沫塑料座面密度、软质聚氨酯泡沫塑料其他部位密度、软质聚氨酯泡沫塑料回弹性、软质聚氨酯泡沫塑料75％压缩永久变形、稳定性、座面冲击、座面椅背静载荷、扶手垂直向下静载荷、扶手水平静载荷、座面椅背耐久性、椅背往复耐久性、椅座往复冲击耐久性、座面左右弯曲交替负荷耐久性、跌落、公共场所用软体家具阻燃性能等均检测合格；甲醛释放量≤0.120mg/m²h，TVOC≤0.5mg/m²h。</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457"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会议椅</w:t>
            </w:r>
          </w:p>
        </w:tc>
        <w:tc>
          <w:tcPr>
            <w:tcW w:w="284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1184910" cy="1697990"/>
                  <wp:effectExtent l="0" t="0" r="15240" b="16510"/>
                  <wp:docPr id="2" name="图片 2" descr="a30c4cd0ddb73d64fdc379848084a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30c4cd0ddb73d64fdc379848084a73"/>
                          <pic:cNvPicPr>
                            <a:picLocks noChangeAspect="1"/>
                          </pic:cNvPicPr>
                        </pic:nvPicPr>
                        <pic:blipFill>
                          <a:blip r:embed="rId9"/>
                          <a:stretch>
                            <a:fillRect/>
                          </a:stretch>
                        </pic:blipFill>
                        <pic:spPr>
                          <a:xfrm>
                            <a:off x="0" y="0"/>
                            <a:ext cx="1184910" cy="1697990"/>
                          </a:xfrm>
                          <a:prstGeom prst="rect">
                            <a:avLst/>
                          </a:prstGeom>
                        </pic:spPr>
                      </pic:pic>
                    </a:graphicData>
                  </a:graphic>
                </wp:inline>
              </w:drawing>
            </w:r>
          </w:p>
        </w:tc>
        <w:tc>
          <w:tcPr>
            <w:tcW w:w="4536" w:type="dxa"/>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规格：常规。</w:t>
            </w:r>
            <w:r>
              <w:rPr>
                <w:rFonts w:hint="eastAsia" w:ascii="宋体" w:hAnsi="宋体" w:eastAsia="宋体" w:cs="宋体"/>
                <w:color w:val="000000"/>
                <w:kern w:val="0"/>
                <w:sz w:val="21"/>
                <w:szCs w:val="21"/>
              </w:rPr>
              <w:t>1、覆面采用环保PU皮，皮面柔软舒适，纹理细腻耐用；内填充环保型高密度、高回弹PU泡绵，圆润厚实，弹性好。</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2、椅子坐背板采用热压多层曲木板；扶手、脚架及整体框架采用橡胶木，经脱脂、烘干、防虫等处理。</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PU皮：pH4.0～9.0，甲醛≤75mg/kg，可萃取的重金属（锑、砷、铅、镉、铬、铬六价、钴、铜、镍、汞）含量合格，重金属总量（铅、镉）含量合格，可裂解出致癌芳香胺的偶氮染料≤30mg/kg，五氯苯酚≤0.5mg/kg，色牢度（沾色）（耐水、耐酸汗液、耐碱汗液、耐干摩擦）≥4级，无异常气味。</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海绵：感官要求合格；物理力学性能（25％压陷硬度、65％/25％压陷比、75％压缩永久变形、回弹率、拉伸强度、伸长率、撕裂强度、干热老化后拉伸强度、干热老化后拉伸强度变化率、湿热老化后拉伸强度、湿热老化后拉伸强度变化率）合格；恒定负荷反复压陷疲劳性能≤30％；泡沫塑料阻燃性能合格。</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5、★胶水：游离甲醛≤1.0g/kg，苯≤0.20g/kg，甲苯+二甲苯≤10g/kg，总挥发性有机物≤110g/L；卤代烃不得检出；外观乳白色，无可视粗颗粒或异物，pH值3～7，黏度≥0.5Pa·s。</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油漆：VOC含量≤650g/L，总铅（Pb）含量≤90mg/kg，可溶性重金属含量（镉、铬、汞）合格，苯含量≤0.1%，甲苯与二甲苯（含乙苯）总和含量≤20%，游离二异氰酸酯总和含量≤0.2%，卤代烃总和含量≤0.1%；涂膜外观正常，贮存稳定性无异常，铅笔硬度（擦伤）≥HB，附着力≤1级，耐干热性≤2级，耐磨性≤0.050g，耐水性无异常，耐碱性无异常，耐醇性无异常，耐污染性无异常。</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7、★会议椅：符合《QB/T 2280-2016 办公家具 办公椅》标准要求；主要尺寸、形状和位置公差、软硬包件外观、木制件外观、软质聚氨酯泡沫塑料座面密度、软质聚氨酯泡沫塑料其他部位密度、软质聚氨酯泡沫塑料回弹性、软质聚氨酯泡沫塑料75％压缩永久变形、稳定性、座面冲击、座面椅背静载荷、扶手垂直向下静载荷、扶手水平静载荷、座面椅背耐久性、椅背往复耐久性、椅座往复冲击耐久性、座面左右弯曲交替负荷耐久性、跌落、公共场所用软体家具阻燃性能等均检测合格；甲醛释放量≤0.120mg/m²h，TVOC≤0.5mg/m²h。</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45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7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条形会议桌</w:t>
            </w:r>
          </w:p>
        </w:tc>
        <w:tc>
          <w:tcPr>
            <w:tcW w:w="284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920115</wp:posOffset>
                  </wp:positionH>
                  <wp:positionV relativeFrom="paragraph">
                    <wp:posOffset>790575</wp:posOffset>
                  </wp:positionV>
                  <wp:extent cx="842010" cy="669925"/>
                  <wp:effectExtent l="0" t="0" r="15240" b="15875"/>
                  <wp:wrapNone/>
                  <wp:docPr id="22" name="图片_8"/>
                  <wp:cNvGraphicFramePr/>
                  <a:graphic xmlns:a="http://schemas.openxmlformats.org/drawingml/2006/main">
                    <a:graphicData uri="http://schemas.openxmlformats.org/drawingml/2006/picture">
                      <pic:pic xmlns:pic="http://schemas.openxmlformats.org/drawingml/2006/picture">
                        <pic:nvPicPr>
                          <pic:cNvPr id="22" name="图片_8"/>
                          <pic:cNvPicPr/>
                        </pic:nvPicPr>
                        <pic:blipFill>
                          <a:blip r:embed="rId10"/>
                          <a:stretch>
                            <a:fillRect/>
                          </a:stretch>
                        </pic:blipFill>
                        <pic:spPr>
                          <a:xfrm>
                            <a:off x="0" y="0"/>
                            <a:ext cx="842010" cy="669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-9525</wp:posOffset>
                  </wp:positionH>
                  <wp:positionV relativeFrom="paragraph">
                    <wp:posOffset>748665</wp:posOffset>
                  </wp:positionV>
                  <wp:extent cx="733425" cy="597535"/>
                  <wp:effectExtent l="0" t="0" r="9525" b="12065"/>
                  <wp:wrapNone/>
                  <wp:docPr id="20" name="图片_7"/>
                  <wp:cNvGraphicFramePr/>
                  <a:graphic xmlns:a="http://schemas.openxmlformats.org/drawingml/2006/main">
                    <a:graphicData uri="http://schemas.openxmlformats.org/drawingml/2006/picture">
                      <pic:pic xmlns:pic="http://schemas.openxmlformats.org/drawingml/2006/picture">
                        <pic:nvPicPr>
                          <pic:cNvPr id="20" name="图片_7"/>
                          <pic:cNvPicPr/>
                        </pic:nvPicPr>
                        <pic:blipFill>
                          <a:blip r:embed="rId11"/>
                          <a:stretch>
                            <a:fillRect/>
                          </a:stretch>
                        </pic:blipFill>
                        <pic:spPr>
                          <a:xfrm>
                            <a:off x="0" y="0"/>
                            <a:ext cx="733425" cy="59753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-10160</wp:posOffset>
                  </wp:positionH>
                  <wp:positionV relativeFrom="paragraph">
                    <wp:posOffset>130810</wp:posOffset>
                  </wp:positionV>
                  <wp:extent cx="1753235" cy="520065"/>
                  <wp:effectExtent l="0" t="0" r="18415" b="13335"/>
                  <wp:wrapNone/>
                  <wp:docPr id="21" name="图片_4"/>
                  <wp:cNvGraphicFramePr/>
                  <a:graphic xmlns:a="http://schemas.openxmlformats.org/drawingml/2006/main">
                    <a:graphicData uri="http://schemas.openxmlformats.org/drawingml/2006/picture">
                      <pic:pic xmlns:pic="http://schemas.openxmlformats.org/drawingml/2006/picture">
                        <pic:nvPicPr>
                          <pic:cNvPr id="21" name="图片_4"/>
                          <pic:cNvPicPr/>
                        </pic:nvPicPr>
                        <pic:blipFill>
                          <a:blip r:embed="rId12"/>
                          <a:stretch>
                            <a:fillRect/>
                          </a:stretch>
                        </pic:blipFill>
                        <pic:spPr>
                          <a:xfrm>
                            <a:off x="0" y="0"/>
                            <a:ext cx="1753235" cy="520065"/>
                          </a:xfrm>
                          <a:prstGeom prst="rect">
                            <a:avLst/>
                          </a:prstGeom>
                          <a:noFill/>
                          <a:ln>
                            <a:noFill/>
                          </a:ln>
                        </pic:spPr>
                      </pic:pic>
                    </a:graphicData>
                  </a:graphic>
                </wp:anchor>
              </w:drawing>
            </w:r>
          </w:p>
        </w:tc>
        <w:tc>
          <w:tcPr>
            <w:tcW w:w="4536" w:type="dxa"/>
            <w:vAlign w:val="center"/>
          </w:tcPr>
          <w:p>
            <w:pPr>
              <w:widowControl/>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规格：1200*400*760。</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1、主要材料：板材采用</w:t>
            </w:r>
            <w:r>
              <w:rPr>
                <w:rFonts w:hint="eastAsia" w:ascii="宋体" w:hAnsi="宋体" w:eastAsia="宋体" w:cs="宋体"/>
                <w:color w:val="000000"/>
                <w:kern w:val="0"/>
                <w:sz w:val="21"/>
                <w:szCs w:val="21"/>
                <w:lang w:val="en-US" w:eastAsia="zh-CN"/>
              </w:rPr>
              <w:t>实木多层板</w:t>
            </w:r>
            <w:r>
              <w:rPr>
                <w:rFonts w:hint="eastAsia" w:ascii="宋体" w:hAnsi="宋体" w:eastAsia="宋体" w:cs="宋体"/>
                <w:color w:val="000000"/>
                <w:kern w:val="0"/>
                <w:sz w:val="21"/>
                <w:szCs w:val="21"/>
              </w:rPr>
              <w:t>，木皮饰面，环保油漆涂饰，</w:t>
            </w:r>
            <w:r>
              <w:rPr>
                <w:rFonts w:hint="eastAsia" w:ascii="宋体" w:hAnsi="宋体" w:cs="宋体"/>
                <w:kern w:val="0"/>
                <w:szCs w:val="21"/>
              </w:rPr>
              <w:t>台面、侧脚不低于2</w:t>
            </w:r>
            <w:r>
              <w:rPr>
                <w:rFonts w:ascii="宋体" w:hAnsi="宋体" w:cs="宋体"/>
                <w:kern w:val="0"/>
                <w:szCs w:val="21"/>
              </w:rPr>
              <w:t>5mm</w:t>
            </w:r>
            <w:r>
              <w:rPr>
                <w:rFonts w:hint="eastAsia" w:ascii="宋体" w:hAnsi="宋体" w:cs="宋体"/>
                <w:kern w:val="0"/>
                <w:szCs w:val="21"/>
              </w:rPr>
              <w:t>。</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cs="宋体"/>
                <w:kern w:val="0"/>
                <w:sz w:val="21"/>
                <w:szCs w:val="21"/>
              </w:rPr>
              <w:t>★实木多层板：</w:t>
            </w:r>
            <w:r>
              <w:rPr>
                <w:rFonts w:hint="eastAsia" w:ascii="宋体" w:hAnsi="宋体"/>
                <w:sz w:val="21"/>
                <w:szCs w:val="21"/>
              </w:rPr>
              <w:t>尺寸偏差合格，外观质量合格；理化性能（含水率、胶合强度、浸渍剥离、静曲强度和弹性模量）合格，</w:t>
            </w:r>
            <w:r>
              <w:rPr>
                <w:rFonts w:ascii="宋体" w:hAnsi="宋体"/>
                <w:sz w:val="21"/>
                <w:szCs w:val="21"/>
              </w:rPr>
              <w:t>甲醛释放量≤0.124mg/m³</w:t>
            </w:r>
            <w:r>
              <w:rPr>
                <w:rFonts w:hint="eastAsia" w:ascii="宋体" w:hAnsi="宋体"/>
                <w:sz w:val="21"/>
                <w:szCs w:val="21"/>
              </w:rPr>
              <w:t>；</w:t>
            </w:r>
            <w:r>
              <w:rPr>
                <w:rFonts w:ascii="宋体" w:hAnsi="宋体"/>
                <w:sz w:val="21"/>
                <w:szCs w:val="21"/>
              </w:rPr>
              <w:t>挥发性有机化合物（72h）</w:t>
            </w:r>
            <w:r>
              <w:rPr>
                <w:rFonts w:hint="eastAsia" w:ascii="宋体" w:hAnsi="宋体"/>
                <w:sz w:val="21"/>
                <w:szCs w:val="21"/>
              </w:rPr>
              <w:t>苯、甲苯、二甲苯、T</w:t>
            </w:r>
            <w:r>
              <w:rPr>
                <w:rFonts w:ascii="宋体" w:hAnsi="宋体"/>
                <w:sz w:val="21"/>
                <w:szCs w:val="21"/>
              </w:rPr>
              <w:t>VOC</w:t>
            </w:r>
            <w:r>
              <w:rPr>
                <w:rFonts w:hint="eastAsia" w:ascii="宋体" w:hAnsi="宋体"/>
                <w:sz w:val="21"/>
                <w:szCs w:val="21"/>
              </w:rPr>
              <w:t>合格；符合</w:t>
            </w:r>
            <w:r>
              <w:rPr>
                <w:rFonts w:ascii="宋体" w:hAnsi="宋体"/>
                <w:sz w:val="21"/>
                <w:szCs w:val="21"/>
              </w:rPr>
              <w:t>GB/T 9846-2015</w:t>
            </w:r>
            <w:r>
              <w:rPr>
                <w:rFonts w:hint="eastAsia" w:ascii="宋体" w:hAnsi="宋体"/>
                <w:sz w:val="21"/>
                <w:szCs w:val="21"/>
              </w:rPr>
              <w:t>标准要求。</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油漆：VOC含量≤650g/L，总铅（Pb）含量≤90mg/kg，可溶性重金属含量（镉、铬、汞）合格，苯含量≤0.1%，甲苯与二甲苯（含乙苯）总和含量≤20%，游离二异氰酸酯总和含量≤0.2%，卤代烃总和含量≤0.1%；涂膜外观正常，贮存稳定性无异常，铅笔硬度（擦伤）≥HB，附着力≤1级，耐干热性≤2级，耐磨性≤0.050g，耐水性无异常，耐碱性无异常，耐醇性无异常，耐污染性无异常。</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、★三合一连接件：主要尺寸与角度、外观、理化性能、力学性能等检测合格；经过人造气氛腐蚀试验（中性盐雾NSS、乙酸盐雾AASS、铜加速乙酸盐雾CASS），保护评级达到最好的10级，外观评级达到最好的10级。</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★条桌：符合《GB/T 3324-2017 木家具通用技术条件》标准要求，桌类主要尺寸、翘曲度、平整度、邻边垂直度、底脚平稳性、标识与实物一致性、人造板件外观、木工要求、桌类垂直静载荷试验、桌类水平静载荷试验、桌面垂直冲击试验、桌面水平耐久性试验、桌类垂直加载稳定性试验、桌类垂直和水平加载稳定性试验等均检测合格；木制件甲醛释放量≤1.5mg/L。</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031" w:type="dxa"/>
            <w:gridSpan w:val="6"/>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3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Theme="minorEastAsia" w:hAnsiTheme="minorEastAsia"/>
              </w:rPr>
              <w:t>报价要求</w:t>
            </w:r>
          </w:p>
        </w:tc>
        <w:tc>
          <w:tcPr>
            <w:tcW w:w="8801" w:type="dxa"/>
            <w:gridSpan w:val="4"/>
            <w:vAlign w:val="center"/>
          </w:tcPr>
          <w:p>
            <w:pPr>
              <w:adjustRightInd w:val="0"/>
              <w:snapToGrid w:val="0"/>
              <w:spacing w:line="400" w:lineRule="exact"/>
              <w:jc w:val="left"/>
              <w:rPr>
                <w:rFonts w:asciiTheme="minorEastAsia" w:hAnsiTheme="minorEastAsia"/>
              </w:rPr>
            </w:pPr>
            <w:r>
              <w:rPr>
                <w:rFonts w:asciiTheme="minorEastAsia" w:hAnsiTheme="minorEastAsia"/>
              </w:rPr>
              <w:t>1、投标报价为采购人指定地点的现场交货价，包括： 1）货物的价格：包括货款、杂配件、安装调试费、验收费； 2）货物的标准附件、备品备件、专用工具的价格。3）运输、装卸、调试、培训、技术支持、售后服务费。4）保险费和各项税金。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Theme="minorEastAsia" w:hAnsiTheme="minorEastAsia"/>
              </w:rPr>
              <w:t>2、备注：竞标供应商自行考虑完成项目所需的辅材、杂配件等数量，投标报价中应包含全部内容，成交后采购人不再另行支付额外费用。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3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Theme="minorEastAsia" w:hAnsiTheme="minorEastAsia"/>
              </w:rPr>
              <w:t>质保期</w:t>
            </w:r>
          </w:p>
        </w:tc>
        <w:tc>
          <w:tcPr>
            <w:tcW w:w="8801" w:type="dxa"/>
            <w:gridSpan w:val="4"/>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Theme="minorEastAsia" w:hAnsiTheme="minorEastAsia"/>
              </w:rPr>
              <w:t>1、自交货并验收合格之日起1年，若厂家免费质保期超过此年限的，按厂家规定执行，并提供终身维护支持。2、如“技术参数及性能（配置）要求”中有特殊要求的，按特殊要求。3、质保期内免费维修、更换损坏的设备和配件及对产品进行维护和保养，终身维修。4、按照国家有关规定实行“三包”，在规定的保修期内，凡货物质量事故和质量缺陷由成交供应商无偿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3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Theme="minorEastAsia" w:hAnsiTheme="minorEastAsia"/>
              </w:rPr>
              <w:t>售后服务要求</w:t>
            </w:r>
          </w:p>
        </w:tc>
        <w:tc>
          <w:tcPr>
            <w:tcW w:w="8801" w:type="dxa"/>
            <w:gridSpan w:val="4"/>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Theme="minorEastAsia" w:hAnsiTheme="minorEastAsia"/>
              </w:rPr>
              <w:t>1、免费送货上门、安装、调试至正常使用。2、成交供应商在质量保证期内应当为采购人提供以下技术支持和服务： 2.1 电话咨询 成交供应商应当为采购人提供技术援助电话，解答采购人在使用中遇到的问题，及时为采购人提出解决问题的建议。2.2 现场响应 采购人遇到使用或技术问题，电话咨询不能解决的，成交供应商应在在接到通知后成交供应商的维修技术人员必须在30分钟内响应，</w:t>
            </w:r>
            <w:r>
              <w:rPr>
                <w:rFonts w:hint="eastAsia" w:asciiTheme="minorEastAsia" w:hAnsiTheme="minorEastAsia"/>
              </w:rPr>
              <w:t>2</w:t>
            </w:r>
            <w:r>
              <w:rPr>
                <w:rFonts w:asciiTheme="minorEastAsia" w:hAnsiTheme="minorEastAsia"/>
              </w:rPr>
              <w:t>小时内到达现场处理，一般故障处理时限不超过4小时，重大故障处理时限不超过24小时修复。未能修复的直接更换，保证采购人正常使用。按国家及行业标准对故障进行及时处理。3、质保期外服务要求 3.1 质量保证期过后，成交供应商应同样提供免费电话咨询服务，并应承诺提供产品或服务上门维护。 3.2 质量保证期过后，采购人需要继续由原成交供应商提供售后服务的，该成交供应商和制造商应以优惠价格提供售后服务。 4、备品备件及易损件 成交供应商售后服务中，维修使用的备品备件及易损件应为原厂配件，未经采购人同意不得使用非原厂配件。 5、成交供应商有完善的安装施工队伍，实现销售、安装、售后服务一条龙</w:t>
            </w:r>
            <w:r>
              <w:rPr>
                <w:rFonts w:asciiTheme="minorEastAsia" w:hAnsiTheme="minorEastAsia"/>
                <w:color w:val="auto"/>
              </w:rPr>
              <w:t>。 6、培训 成交供应商对其提供产品的使用和操作应尽培训义务。成交供应商应提供对采购人的多次免费培训，使采购人使用人员熟练掌握所培训内容，熟练掌握全部功能。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30" w:type="dxa"/>
            <w:gridSpan w:val="2"/>
            <w:vAlign w:val="center"/>
          </w:tcPr>
          <w:p>
            <w:pPr>
              <w:keepNext w:val="0"/>
              <w:keepLines w:val="0"/>
              <w:widowControl/>
              <w:suppressLineNumbers w:val="0"/>
              <w:jc w:val="center"/>
              <w:textAlignment w:val="center"/>
              <w:rPr>
                <w:rFonts w:asciiTheme="minorEastAsia" w:hAnsiTheme="minorEastAsia"/>
              </w:rPr>
            </w:pPr>
            <w:r>
              <w:rPr>
                <w:rFonts w:asciiTheme="minorEastAsia" w:hAnsiTheme="minorEastAsia"/>
              </w:rPr>
              <w:t>售后技术要求</w:t>
            </w:r>
          </w:p>
        </w:tc>
        <w:tc>
          <w:tcPr>
            <w:tcW w:w="8801" w:type="dxa"/>
            <w:gridSpan w:val="4"/>
            <w:vAlign w:val="center"/>
          </w:tcPr>
          <w:p>
            <w:pPr>
              <w:keepNext w:val="0"/>
              <w:keepLines w:val="0"/>
              <w:widowControl/>
              <w:suppressLineNumbers w:val="0"/>
              <w:jc w:val="left"/>
              <w:textAlignment w:val="center"/>
              <w:rPr>
                <w:rFonts w:asciiTheme="minorEastAsia" w:hAnsiTheme="minorEastAsia"/>
              </w:rPr>
            </w:pPr>
            <w:r>
              <w:rPr>
                <w:rFonts w:asciiTheme="minorEastAsia" w:hAnsiTheme="minorEastAsia"/>
              </w:rPr>
              <w:t>1、</w:t>
            </w:r>
            <w:r>
              <w:rPr>
                <w:rFonts w:hint="eastAsia" w:asciiTheme="minorEastAsia" w:hAnsiTheme="minorEastAsia"/>
              </w:rPr>
              <w:t>产品</w:t>
            </w:r>
            <w:r>
              <w:rPr>
                <w:rFonts w:asciiTheme="minorEastAsia" w:hAnsiTheme="minorEastAsia"/>
              </w:rPr>
              <w:t>制造商提供原厂有限免费上门维修服务。 2、其余按国家标准执行。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30" w:type="dxa"/>
            <w:gridSpan w:val="2"/>
            <w:vAlign w:val="center"/>
          </w:tcPr>
          <w:p>
            <w:pPr>
              <w:keepNext w:val="0"/>
              <w:keepLines w:val="0"/>
              <w:widowControl/>
              <w:suppressLineNumbers w:val="0"/>
              <w:jc w:val="center"/>
              <w:textAlignment w:val="center"/>
              <w:rPr>
                <w:rFonts w:asciiTheme="minorEastAsia" w:hAnsiTheme="minorEastAsia"/>
              </w:rPr>
            </w:pPr>
            <w:r>
              <w:rPr>
                <w:rFonts w:asciiTheme="minorEastAsia" w:hAnsiTheme="minorEastAsia"/>
              </w:rPr>
              <w:t>交货期及地点</w:t>
            </w:r>
          </w:p>
        </w:tc>
        <w:tc>
          <w:tcPr>
            <w:tcW w:w="8801" w:type="dxa"/>
            <w:gridSpan w:val="4"/>
            <w:vAlign w:val="center"/>
          </w:tcPr>
          <w:p>
            <w:pPr>
              <w:adjustRightInd w:val="0"/>
              <w:snapToGrid w:val="0"/>
              <w:spacing w:line="400" w:lineRule="exact"/>
              <w:jc w:val="left"/>
              <w:rPr>
                <w:rFonts w:asciiTheme="minorEastAsia" w:hAnsiTheme="minorEastAsia"/>
              </w:rPr>
            </w:pPr>
            <w:r>
              <w:rPr>
                <w:rFonts w:asciiTheme="minorEastAsia" w:hAnsiTheme="minorEastAsia"/>
              </w:rPr>
              <w:t>1、交货期：</w:t>
            </w:r>
            <w:r>
              <w:rPr>
                <w:rFonts w:hint="eastAsia" w:asciiTheme="minorEastAsia" w:hAnsiTheme="minorEastAsia"/>
              </w:rPr>
              <w:t>自合同签订之日起</w:t>
            </w:r>
            <w:r>
              <w:rPr>
                <w:rFonts w:hint="eastAsia" w:asciiTheme="minorEastAsia" w:hAnsiTheme="minorEastAsia"/>
                <w:color w:val="FF0000"/>
                <w:lang w:val="en-US" w:eastAsia="zh-CN"/>
              </w:rPr>
              <w:t>30</w:t>
            </w:r>
            <w:r>
              <w:rPr>
                <w:rFonts w:hint="eastAsia" w:asciiTheme="minorEastAsia" w:hAnsiTheme="minorEastAsia"/>
                <w:color w:val="FF0000"/>
              </w:rPr>
              <w:t>个工作日</w:t>
            </w:r>
            <w:r>
              <w:rPr>
                <w:rFonts w:hint="eastAsia" w:asciiTheme="minorEastAsia" w:hAnsiTheme="minorEastAsia"/>
              </w:rPr>
              <w:t>内交货及安装完毕</w:t>
            </w:r>
            <w:r>
              <w:rPr>
                <w:rFonts w:asciiTheme="minorEastAsia" w:hAnsiTheme="minorEastAsia"/>
              </w:rPr>
              <w:t>。</w:t>
            </w:r>
          </w:p>
          <w:p>
            <w:pPr>
              <w:keepNext w:val="0"/>
              <w:keepLines w:val="0"/>
              <w:widowControl/>
              <w:suppressLineNumbers w:val="0"/>
              <w:jc w:val="left"/>
              <w:textAlignment w:val="center"/>
              <w:rPr>
                <w:rFonts w:asciiTheme="minorEastAsia" w:hAnsiTheme="minorEastAsia"/>
              </w:rPr>
            </w:pPr>
            <w:r>
              <w:rPr>
                <w:rFonts w:asciiTheme="minorEastAsia" w:hAnsiTheme="minorEastAsia"/>
              </w:rPr>
              <w:t>2、交货地点：</w:t>
            </w:r>
            <w:r>
              <w:rPr>
                <w:rFonts w:hint="eastAsia" w:asciiTheme="minorEastAsia" w:hAnsiTheme="minorEastAsia"/>
              </w:rPr>
              <w:t>采购人指定地点</w:t>
            </w:r>
            <w:r>
              <w:rPr>
                <w:rFonts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30" w:type="dxa"/>
            <w:gridSpan w:val="2"/>
            <w:vAlign w:val="center"/>
          </w:tcPr>
          <w:p>
            <w:pPr>
              <w:keepNext w:val="0"/>
              <w:keepLines w:val="0"/>
              <w:widowControl/>
              <w:suppressLineNumbers w:val="0"/>
              <w:jc w:val="center"/>
              <w:textAlignment w:val="center"/>
              <w:rPr>
                <w:rFonts w:asciiTheme="minorEastAsia" w:hAnsiTheme="minorEastAsia"/>
              </w:rPr>
            </w:pPr>
            <w:r>
              <w:rPr>
                <w:rFonts w:hint="eastAsia" w:cs="Arial" w:asciiTheme="minorEastAsia" w:hAnsiTheme="minorEastAsia"/>
                <w:kern w:val="0"/>
                <w:szCs w:val="21"/>
              </w:rPr>
              <w:t>质量要求</w:t>
            </w:r>
          </w:p>
        </w:tc>
        <w:tc>
          <w:tcPr>
            <w:tcW w:w="8801" w:type="dxa"/>
            <w:gridSpan w:val="4"/>
            <w:vAlign w:val="center"/>
          </w:tcPr>
          <w:p>
            <w:pPr>
              <w:adjustRightInd w:val="0"/>
              <w:snapToGrid w:val="0"/>
              <w:spacing w:line="360" w:lineRule="exact"/>
              <w:jc w:val="left"/>
              <w:rPr>
                <w:rFonts w:ascii="宋体" w:hAnsi="宋体" w:eastAsia="宋体"/>
                <w:b/>
                <w:bCs/>
              </w:rPr>
            </w:pPr>
            <w:r>
              <w:rPr>
                <w:rFonts w:hint="eastAsia" w:ascii="宋体" w:hAnsi="宋体" w:eastAsia="宋体"/>
                <w:b/>
                <w:bCs/>
                <w:lang w:val="en-US" w:eastAsia="zh-CN"/>
              </w:rPr>
              <w:t>1</w:t>
            </w:r>
            <w:r>
              <w:rPr>
                <w:rFonts w:hint="eastAsia" w:ascii="宋体" w:hAnsi="宋体" w:eastAsia="宋体"/>
                <w:b/>
                <w:bCs/>
                <w:lang w:eastAsia="zh-CN"/>
              </w:rPr>
              <w:t>、</w:t>
            </w:r>
            <w:r>
              <w:rPr>
                <w:rFonts w:hint="eastAsia" w:ascii="宋体" w:hAnsi="宋体" w:eastAsia="宋体"/>
                <w:b/>
                <w:bCs/>
              </w:rPr>
              <w:t>竞标供应商响应文件中必须提供以下</w:t>
            </w:r>
            <w:r>
              <w:rPr>
                <w:rFonts w:hint="eastAsia"/>
                <w:b/>
                <w:szCs w:val="21"/>
              </w:rPr>
              <w:t>具有检测资质的第三方检验机构出具的合格检测报告扫描件或其他电子文件，并加盖供应商公章。</w:t>
            </w:r>
          </w:p>
          <w:p>
            <w:pPr>
              <w:adjustRightInd w:val="0"/>
              <w:snapToGrid w:val="0"/>
              <w:spacing w:line="360" w:lineRule="exact"/>
              <w:jc w:val="left"/>
              <w:rPr>
                <w:rFonts w:ascii="宋体" w:hAnsi="宋体" w:eastAsia="宋体"/>
                <w:b/>
                <w:bCs/>
              </w:rPr>
            </w:pPr>
            <w:r>
              <w:rPr>
                <w:rFonts w:hint="eastAsia" w:ascii="宋体" w:hAnsi="宋体" w:eastAsia="宋体"/>
                <w:b/>
                <w:bCs/>
              </w:rPr>
              <w:t>1.成品型式检验报告（</w:t>
            </w:r>
            <w:r>
              <w:rPr>
                <w:rFonts w:hint="eastAsia" w:ascii="宋体" w:hAnsi="宋体" w:eastAsia="宋体"/>
                <w:b/>
                <w:bCs/>
                <w:color w:val="FF0000"/>
              </w:rPr>
              <w:t>中标后</w:t>
            </w:r>
            <w:r>
              <w:rPr>
                <w:rFonts w:hint="eastAsia" w:ascii="宋体" w:hAnsi="宋体" w:eastAsia="宋体"/>
                <w:b/>
                <w:bCs/>
                <w:color w:val="FF0000"/>
                <w:lang w:eastAsia="zh-CN"/>
              </w:rPr>
              <w:t>次日</w:t>
            </w:r>
            <w:r>
              <w:rPr>
                <w:rFonts w:hint="eastAsia" w:ascii="宋体" w:hAnsi="宋体" w:eastAsia="宋体"/>
                <w:b/>
                <w:bCs/>
                <w:color w:val="FF0000"/>
              </w:rPr>
              <w:t>提交原件</w:t>
            </w:r>
            <w:r>
              <w:rPr>
                <w:rFonts w:hint="eastAsia" w:ascii="宋体" w:hAnsi="宋体" w:eastAsia="宋体"/>
                <w:b/>
                <w:bCs/>
                <w:color w:val="FF0000"/>
                <w:lang w:eastAsia="zh-CN"/>
              </w:rPr>
              <w:t>，否则作废标处理</w:t>
            </w:r>
            <w:r>
              <w:rPr>
                <w:rFonts w:hint="eastAsia" w:ascii="宋体" w:hAnsi="宋体" w:eastAsia="宋体"/>
                <w:b/>
                <w:bCs/>
              </w:rPr>
              <w:t>），</w:t>
            </w:r>
            <w:r>
              <w:rPr>
                <w:rFonts w:hint="eastAsia" w:ascii="宋体" w:hAnsi="宋体" w:eastAsia="宋体"/>
                <w:b/>
                <w:bCs/>
                <w:color w:val="FF0000"/>
              </w:rPr>
              <w:t>检验报告内容应包含但不限于以下要求</w:t>
            </w:r>
            <w:r>
              <w:rPr>
                <w:rFonts w:hint="eastAsia" w:ascii="宋体" w:hAnsi="宋体" w:eastAsia="宋体"/>
                <w:b/>
                <w:bCs/>
              </w:rPr>
              <w:t>：</w:t>
            </w:r>
          </w:p>
          <w:p>
            <w:pPr>
              <w:adjustRightInd w:val="0"/>
              <w:snapToGrid w:val="0"/>
              <w:spacing w:line="400" w:lineRule="exact"/>
              <w:jc w:val="left"/>
              <w:rPr>
                <w:rFonts w:asciiTheme="minorEastAsia" w:hAnsiTheme="minorEastAsia"/>
              </w:rPr>
            </w:pPr>
            <w:r>
              <w:rPr>
                <w:rFonts w:hint="eastAsia" w:asciiTheme="minorEastAsia" w:hAnsiTheme="minorEastAsia"/>
              </w:rPr>
              <w:t>①会议桌：</w:t>
            </w:r>
            <w:r>
              <w:rPr>
                <w:rFonts w:hint="eastAsia" w:asciiTheme="minorEastAsia" w:hAnsiTheme="minorEastAsia"/>
                <w:lang w:val="en-US" w:eastAsia="zh-CN"/>
              </w:rPr>
              <w:t>符合</w:t>
            </w:r>
            <w:r>
              <w:rPr>
                <w:rFonts w:hint="eastAsia" w:asciiTheme="minorEastAsia" w:hAnsiTheme="minorEastAsia"/>
              </w:rPr>
              <w:t>《GB/T 3324-2017 木家具通用技术条件》标准要求；桌类主要尺寸、产品外形尺寸偏差、邻边垂直度、翘曲度、平整度、底脚平稳性、人造板件外观、木工要求、漆膜外观要求、漆膜耐液性、漆膜耐湿热、漆膜耐干热、漆膜附着力、漆膜耐冷热温差、漆膜耐磨性、漆膜抗冲击、桌类垂直静载荷试验、桌类水平静载荷试验、桌面垂直冲击试验、桌腿跌落试验、桌面水平耐久性试验、桌类垂直加载稳定性试验、桌类垂直和水平加载稳定性试验等均检测合格；木制件甲醛释放量≤1.5 mg/L，木制件涂层可溶性重金属含量(可溶性铅、可溶性镉、可溶性铬、可溶性汞)检测合格。</w:t>
            </w:r>
          </w:p>
          <w:p>
            <w:pPr>
              <w:pStyle w:val="6"/>
              <w:ind w:left="0" w:leftChars="0" w:firstLine="0" w:firstLineChars="0"/>
              <w:rPr>
                <w:rFonts w:ascii="宋体" w:hAnsi="宋体" w:eastAsia="宋体" w:cs="宋体"/>
                <w:sz w:val="21"/>
                <w:szCs w:val="21"/>
                <w:lang w:val="en-US"/>
              </w:rPr>
            </w:pPr>
            <w:r>
              <w:rPr>
                <w:rFonts w:hint="eastAsia" w:ascii="宋体" w:hAnsi="宋体" w:eastAsia="宋体" w:cs="宋体"/>
                <w:sz w:val="21"/>
                <w:szCs w:val="21"/>
                <w:lang w:val="en-US"/>
              </w:rPr>
              <w:t>②会议椅：</w:t>
            </w:r>
            <w:r>
              <w:rPr>
                <w:rFonts w:hint="eastAsia" w:ascii="宋体" w:hAnsi="宋体" w:eastAsia="宋体" w:cs="宋体"/>
                <w:sz w:val="21"/>
                <w:szCs w:val="21"/>
                <w:lang w:val="en-US" w:eastAsia="zh-CN"/>
              </w:rPr>
              <w:t>符合</w:t>
            </w:r>
            <w:r>
              <w:rPr>
                <w:rFonts w:hint="eastAsia" w:ascii="宋体" w:hAnsi="宋体" w:eastAsia="宋体" w:cs="宋体"/>
                <w:sz w:val="21"/>
                <w:szCs w:val="21"/>
                <w:lang w:val="en-US"/>
              </w:rPr>
              <w:t>《QB/T 2280-2016 办公家具 办公椅》标准要求；主要尺寸、形状和位置公差、软硬包件外观、木制件外观、软质聚氨酯泡沫塑料座面密度、软质聚氨酯泡沫塑料其他部位密度、软质聚氨酯泡沫塑料回弹性、软质聚氨酯泡沫塑料75％压缩永久变形、稳定性、座面冲击、座面椅背静载荷、扶手垂直向下静载荷、扶手水平静载荷、座面椅背耐久性、椅背往复耐久性、椅座往复冲击耐久性、座面左右弯曲交替负荷耐久性、跌落、公共场所用软体家具阻燃性能等均检测合格；甲醛释放量≤0.120mg/m²h，TVOC≤0.5mg/m²h。</w:t>
            </w:r>
          </w:p>
          <w:p>
            <w:pPr>
              <w:pStyle w:val="6"/>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③</w:t>
            </w:r>
            <w:r>
              <w:rPr>
                <w:rFonts w:hint="eastAsia" w:ascii="宋体" w:hAnsi="宋体" w:eastAsia="宋体" w:cs="宋体"/>
                <w:sz w:val="21"/>
                <w:szCs w:val="21"/>
                <w:lang w:val="en-US"/>
              </w:rPr>
              <w:t>条桌：满足或优于《GB/T 3324-2017 木家具通用技术条件》标准要求，桌类主要尺寸、翘曲度、平整度、邻边垂直度、底脚平稳性、标识与实物一致性、人造板件外观、木工要求、桌类垂直静载荷试验、桌类水平静载荷试验、桌面垂直冲击试验、桌面水平耐久性试验、桌类垂直加载稳定性试验、桌类垂直和水平加载稳定性试验等均检测合格；木制件甲醛释放量≤1.5mg/L。</w:t>
            </w:r>
          </w:p>
          <w:p>
            <w:pPr>
              <w:adjustRightInd w:val="0"/>
              <w:snapToGrid w:val="0"/>
              <w:spacing w:line="360" w:lineRule="exact"/>
              <w:jc w:val="left"/>
              <w:rPr>
                <w:rFonts w:ascii="宋体" w:hAnsi="宋体" w:eastAsia="宋体"/>
                <w:b/>
                <w:bCs/>
              </w:rPr>
            </w:pPr>
            <w:r>
              <w:rPr>
                <w:rFonts w:hint="eastAsia" w:ascii="宋体" w:hAnsi="宋体" w:eastAsia="宋体"/>
                <w:b/>
                <w:bCs/>
                <w:lang w:val="en-US" w:eastAsia="zh-CN"/>
              </w:rPr>
              <w:t>2、</w:t>
            </w:r>
            <w:r>
              <w:rPr>
                <w:rFonts w:hint="eastAsia" w:ascii="宋体" w:hAnsi="宋体" w:eastAsia="宋体"/>
                <w:b/>
                <w:bCs/>
              </w:rPr>
              <w:t>竞标供应商中标后必须提供以下</w:t>
            </w:r>
            <w:r>
              <w:rPr>
                <w:rFonts w:hint="eastAsia"/>
                <w:b/>
                <w:szCs w:val="21"/>
              </w:rPr>
              <w:t>具有检测资质的第三方检验机构出具的原材料及配件合格检测报告原件,</w:t>
            </w:r>
            <w:r>
              <w:rPr>
                <w:rFonts w:hint="eastAsia"/>
                <w:b/>
                <w:szCs w:val="21"/>
                <w:lang w:eastAsia="zh-CN"/>
              </w:rPr>
              <w:t>（</w:t>
            </w:r>
            <w:r>
              <w:rPr>
                <w:rFonts w:hint="eastAsia" w:ascii="宋体" w:hAnsi="宋体" w:eastAsia="宋体"/>
                <w:b/>
                <w:bCs/>
                <w:color w:val="FF0000"/>
              </w:rPr>
              <w:t>中标后</w:t>
            </w:r>
            <w:r>
              <w:rPr>
                <w:rFonts w:hint="eastAsia" w:ascii="宋体" w:hAnsi="宋体" w:eastAsia="宋体"/>
                <w:b/>
                <w:bCs/>
                <w:color w:val="FF0000"/>
                <w:lang w:eastAsia="zh-CN"/>
              </w:rPr>
              <w:t>次日</w:t>
            </w:r>
            <w:r>
              <w:rPr>
                <w:rFonts w:hint="eastAsia" w:ascii="宋体" w:hAnsi="宋体" w:eastAsia="宋体"/>
                <w:b/>
                <w:bCs/>
                <w:color w:val="FF0000"/>
              </w:rPr>
              <w:t>提交原件</w:t>
            </w:r>
            <w:r>
              <w:rPr>
                <w:rFonts w:hint="eastAsia" w:ascii="宋体" w:hAnsi="宋体" w:eastAsia="宋体"/>
                <w:b/>
                <w:bCs/>
                <w:color w:val="FF0000"/>
                <w:lang w:eastAsia="zh-CN"/>
              </w:rPr>
              <w:t>，否则作废标处理</w:t>
            </w:r>
            <w:r>
              <w:rPr>
                <w:rFonts w:hint="eastAsia" w:ascii="宋体" w:hAnsi="宋体" w:eastAsia="宋体"/>
                <w:b/>
                <w:bCs/>
                <w:lang w:eastAsia="zh-CN"/>
              </w:rPr>
              <w:t>）</w:t>
            </w:r>
            <w:r>
              <w:rPr>
                <w:rFonts w:hint="eastAsia" w:ascii="宋体" w:hAnsi="宋体" w:eastAsia="宋体"/>
                <w:b/>
                <w:bCs/>
                <w:color w:val="FF0000"/>
              </w:rPr>
              <w:t>检验报告内容应包含但不限于以下要求：</w:t>
            </w:r>
          </w:p>
          <w:p>
            <w:pPr>
              <w:widowControl/>
              <w:jc w:val="left"/>
              <w:textAlignment w:val="center"/>
              <w:rPr>
                <w:rFonts w:hint="eastAsia" w:ascii="宋体" w:hAnsi="宋体"/>
                <w:sz w:val="21"/>
                <w:szCs w:val="21"/>
              </w:rPr>
            </w:pPr>
            <w:r>
              <w:rPr>
                <w:rFonts w:hint="eastAsia" w:ascii="宋体" w:hAnsi="宋体" w:cs="宋体"/>
                <w:kern w:val="0"/>
                <w:sz w:val="21"/>
                <w:szCs w:val="21"/>
                <w:lang w:val="en-US" w:eastAsia="zh-CN"/>
              </w:rPr>
              <w:t>①</w:t>
            </w:r>
            <w:r>
              <w:rPr>
                <w:rFonts w:hint="eastAsia" w:ascii="宋体" w:hAnsi="宋体" w:cs="宋体"/>
                <w:kern w:val="0"/>
                <w:sz w:val="21"/>
                <w:szCs w:val="21"/>
              </w:rPr>
              <w:t>实木多层板：</w:t>
            </w:r>
            <w:r>
              <w:rPr>
                <w:rFonts w:hint="eastAsia" w:ascii="宋体" w:hAnsi="宋体"/>
                <w:sz w:val="21"/>
                <w:szCs w:val="21"/>
              </w:rPr>
              <w:t>尺寸偏差合格，外观质量合格；理化性能（含水率、胶合强度、浸渍剥离、静曲强度和弹性模量）合格，</w:t>
            </w:r>
            <w:r>
              <w:rPr>
                <w:rFonts w:ascii="宋体" w:hAnsi="宋体"/>
                <w:sz w:val="21"/>
                <w:szCs w:val="21"/>
              </w:rPr>
              <w:t>甲醛释放量≤0.124mg/m³</w:t>
            </w:r>
            <w:r>
              <w:rPr>
                <w:rFonts w:hint="eastAsia" w:ascii="宋体" w:hAnsi="宋体"/>
                <w:sz w:val="21"/>
                <w:szCs w:val="21"/>
              </w:rPr>
              <w:t>；</w:t>
            </w:r>
            <w:r>
              <w:rPr>
                <w:rFonts w:ascii="宋体" w:hAnsi="宋体"/>
                <w:sz w:val="21"/>
                <w:szCs w:val="21"/>
              </w:rPr>
              <w:t>挥发性有机化合物（72h）</w:t>
            </w:r>
            <w:r>
              <w:rPr>
                <w:rFonts w:hint="eastAsia" w:ascii="宋体" w:hAnsi="宋体"/>
                <w:sz w:val="21"/>
                <w:szCs w:val="21"/>
              </w:rPr>
              <w:t>苯、甲苯、二甲苯、T</w:t>
            </w:r>
            <w:r>
              <w:rPr>
                <w:rFonts w:ascii="宋体" w:hAnsi="宋体"/>
                <w:sz w:val="21"/>
                <w:szCs w:val="21"/>
              </w:rPr>
              <w:t>VOC</w:t>
            </w:r>
            <w:r>
              <w:rPr>
                <w:rFonts w:hint="eastAsia" w:ascii="宋体" w:hAnsi="宋体"/>
                <w:sz w:val="21"/>
                <w:szCs w:val="21"/>
              </w:rPr>
              <w:t>合格；符合</w:t>
            </w:r>
            <w:r>
              <w:rPr>
                <w:rFonts w:ascii="宋体" w:hAnsi="宋体"/>
                <w:sz w:val="21"/>
                <w:szCs w:val="21"/>
              </w:rPr>
              <w:t>GB/T 9846-2015</w:t>
            </w:r>
            <w:r>
              <w:rPr>
                <w:rFonts w:hint="eastAsia" w:ascii="宋体" w:hAnsi="宋体"/>
                <w:sz w:val="21"/>
                <w:szCs w:val="21"/>
              </w:rPr>
              <w:t>标准要求。</w:t>
            </w:r>
          </w:p>
          <w:p>
            <w:pPr>
              <w:widowControl/>
              <w:jc w:val="left"/>
              <w:textAlignment w:val="center"/>
              <w:rPr>
                <w:rFonts w:hint="eastAsia" w:ascii="宋体" w:hAnsi="宋体"/>
                <w:sz w:val="21"/>
                <w:szCs w:val="21"/>
              </w:rPr>
            </w:pPr>
            <w:r>
              <w:rPr>
                <w:rFonts w:hint="eastAsia" w:ascii="宋体" w:hAnsi="宋体" w:eastAsia="宋体" w:cs="宋体"/>
                <w:color w:val="000000"/>
                <w:kern w:val="0"/>
                <w:sz w:val="21"/>
                <w:szCs w:val="21"/>
                <w:lang w:val="en-US" w:eastAsia="zh-CN"/>
              </w:rPr>
              <w:t>②</w:t>
            </w:r>
            <w:r>
              <w:rPr>
                <w:rFonts w:hint="eastAsia" w:ascii="宋体" w:hAnsi="宋体" w:eastAsia="宋体" w:cs="宋体"/>
                <w:color w:val="000000"/>
                <w:kern w:val="0"/>
                <w:sz w:val="21"/>
                <w:szCs w:val="21"/>
              </w:rPr>
              <w:t>油漆：VOC含量≤650g/L，总铅（Pb）含量≤90mg/kg，可溶性重金属含量（镉、铬、汞）合格，苯含量≤0.1%，甲苯与二甲苯（含乙苯）总和含量≤20%，游离二异氰酸酯总和含量≤0.2%，卤代烃总和含量≤0.1%；涂膜外观正常，贮存稳定性无异常，铅笔硬度（擦伤）≥HB，附着力≤1级，耐干热性≤2级，耐磨性≤0.050g，耐水性无异常，耐碱性无异常，耐醇性无异常，耐污染性无异常。</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③</w:t>
            </w:r>
            <w:r>
              <w:rPr>
                <w:rFonts w:hint="eastAsia" w:ascii="宋体" w:hAnsi="宋体" w:eastAsia="宋体" w:cs="宋体"/>
                <w:color w:val="000000"/>
                <w:kern w:val="0"/>
                <w:sz w:val="21"/>
                <w:szCs w:val="21"/>
              </w:rPr>
              <w:t>PU皮：pH4.0～9.0，甲醛≤75mg/kg，可萃取的重金属（锑、砷、铅、镉、铬、铬六价、钴、铜、镍、汞）含量合格，重金属总量（铅、镉）含量合格，可裂解出致癌芳香胺的偶氮染料≤30mg/kg，五氯苯酚≤0.5mg/kg，色牢度（沾色）（耐水、耐酸汗液、耐碱汗液、耐干摩擦）≥4级，无异常气味。</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④</w:t>
            </w:r>
            <w:r>
              <w:rPr>
                <w:rFonts w:hint="eastAsia" w:ascii="宋体" w:hAnsi="宋体" w:eastAsia="宋体" w:cs="宋体"/>
                <w:color w:val="000000"/>
                <w:kern w:val="0"/>
                <w:sz w:val="21"/>
                <w:szCs w:val="21"/>
              </w:rPr>
              <w:t>海绵：感官要求合格；物理力学性能（25％压陷硬度、65％/25％压陷比、75％压缩永久变形、回弹率、拉伸强度、伸长率、撕裂强度、干热老化后拉伸强度、干热老化后拉伸强度变化率、湿热老化后拉伸强度、湿热老化后拉伸强度变化率）合格；恒定负荷反复压陷疲劳性能≤30％；泡沫塑料阻燃性能合格。</w:t>
            </w:r>
          </w:p>
          <w:p>
            <w:pPr>
              <w:pStyle w:val="6"/>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⑤</w:t>
            </w:r>
            <w:r>
              <w:rPr>
                <w:rFonts w:hint="eastAsia" w:ascii="宋体" w:hAnsi="宋体" w:eastAsia="宋体" w:cs="宋体"/>
                <w:color w:val="000000"/>
                <w:kern w:val="0"/>
                <w:sz w:val="21"/>
                <w:szCs w:val="21"/>
              </w:rPr>
              <w:t>三合一连接件：主要尺寸与角度、外观、理化性能、力学性能等检测合格；经过人造气氛腐蚀试验（中性盐雾NSS、乙酸盐雾AASS、铜加速乙酸盐雾CASS），保护评级达到最好的10级，外观评级达到最好的10级。</w:t>
            </w:r>
          </w:p>
        </w:tc>
      </w:tr>
    </w:tbl>
    <w:p>
      <w:pPr>
        <w:tabs>
          <w:tab w:val="left" w:pos="867"/>
        </w:tabs>
        <w:bidi w:val="0"/>
        <w:jc w:val="left"/>
        <w:rPr>
          <w:rFonts w:hint="default"/>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MzY4MjU4OTY3MjBhNDI3NGFjNTUwMWIzZDQyMmUifQ=="/>
  </w:docVars>
  <w:rsids>
    <w:rsidRoot w:val="339F0A20"/>
    <w:rsid w:val="17FF7ADF"/>
    <w:rsid w:val="19AC2BD7"/>
    <w:rsid w:val="339F0A20"/>
    <w:rsid w:val="38B3F952"/>
    <w:rsid w:val="39682BD8"/>
    <w:rsid w:val="3FFD2661"/>
    <w:rsid w:val="57DB9B26"/>
    <w:rsid w:val="57FBF845"/>
    <w:rsid w:val="5BFBCA76"/>
    <w:rsid w:val="6D214B01"/>
    <w:rsid w:val="6E7AA34D"/>
    <w:rsid w:val="74B6D86B"/>
    <w:rsid w:val="777F7804"/>
    <w:rsid w:val="BDF57128"/>
    <w:rsid w:val="C3BFA088"/>
    <w:rsid w:val="E7FF63B8"/>
    <w:rsid w:val="ECEE02FC"/>
    <w:rsid w:val="EDE737A6"/>
    <w:rsid w:val="F4DFE031"/>
    <w:rsid w:val="F4FE3F63"/>
    <w:rsid w:val="FCBF86BF"/>
    <w:rsid w:val="FEFFA5B1"/>
    <w:rsid w:val="FFDDF7D7"/>
    <w:rsid w:val="FFE53FF9"/>
    <w:rsid w:val="FFFFB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830" w:firstLineChars="352"/>
    </w:pPr>
    <w:rPr>
      <w:rFonts w:ascii="仿宋_GB2312" w:hAnsi="Times New Roman" w:eastAsia="仿宋_GB2312" w:cs="Times New Roman"/>
      <w:kern w:val="0"/>
      <w:sz w:val="32"/>
      <w:szCs w:val="20"/>
      <w:lang w:val="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1"/>
    <w:basedOn w:val="1"/>
    <w:next w:val="1"/>
    <w:qFormat/>
    <w:uiPriority w:val="0"/>
    <w:pPr>
      <w:spacing w:line="400" w:lineRule="exact"/>
      <w:ind w:firstLine="420" w:firstLineChars="200"/>
    </w:pPr>
    <w:rPr>
      <w:rFonts w:ascii="宋体" w:hAnsi="Courier New"/>
      <w:b/>
      <w:szCs w:val="20"/>
    </w:rPr>
  </w:style>
  <w:style w:type="paragraph" w:styleId="6">
    <w:name w:val="Body Text First Indent 2"/>
    <w:basedOn w:val="2"/>
    <w:qFormat/>
    <w:uiPriority w:val="0"/>
    <w:pPr>
      <w:spacing w:after="120"/>
      <w:ind w:left="420" w:leftChars="200"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5311</Words>
  <Characters>5938</Characters>
  <Lines>0</Lines>
  <Paragraphs>0</Paragraphs>
  <TotalTime>338</TotalTime>
  <ScaleCrop>false</ScaleCrop>
  <LinksUpToDate>false</LinksUpToDate>
  <CharactersWithSpaces>5978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2024-06-20T19:24:00Z</dcterms:created>
  <dc:creator>123</dc:creator>
  <cp:lastModifiedBy>gxxc</cp:lastModifiedBy>
  <dcterms:modified xsi:type="dcterms:W3CDTF">2024-07-04T08:24:27Z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1A37C389BB4643E899601AD33D4F2337_13</vt:lpwstr>
  </property>
</Properties>
</file>