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D53A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2</w:t>
      </w:r>
    </w:p>
    <w:p w14:paraId="70417D5B">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color w:val="auto"/>
          <w:lang w:val="en-US" w:eastAsia="zh-CN"/>
        </w:rPr>
      </w:pPr>
    </w:p>
    <w:p w14:paraId="759251F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sz w:val="44"/>
          <w:szCs w:val="44"/>
        </w:rPr>
      </w:pPr>
      <w:r>
        <w:rPr>
          <w:rFonts w:hint="default" w:ascii="Times New Roman" w:hAnsi="Times New Roman" w:eastAsia="方正小标宋简体" w:cs="Times New Roman"/>
          <w:b w:val="0"/>
          <w:bCs/>
          <w:color w:val="auto"/>
          <w:sz w:val="44"/>
          <w:szCs w:val="44"/>
        </w:rPr>
        <w:t>202</w:t>
      </w:r>
      <w:r>
        <w:rPr>
          <w:rFonts w:hint="default" w:ascii="Times New Roman" w:hAnsi="Times New Roman" w:eastAsia="方正小标宋简体" w:cs="Times New Roman"/>
          <w:b w:val="0"/>
          <w:bCs/>
          <w:color w:val="auto"/>
          <w:sz w:val="44"/>
          <w:szCs w:val="44"/>
          <w:lang w:val="en-US" w:eastAsia="zh-CN"/>
        </w:rPr>
        <w:t>5</w:t>
      </w:r>
      <w:r>
        <w:rPr>
          <w:rFonts w:hint="eastAsia" w:ascii="方正小标宋简体" w:hAnsi="方正小标宋简体" w:eastAsia="方正小标宋简体" w:cs="方正小标宋简体"/>
          <w:b w:val="0"/>
          <w:bCs/>
          <w:color w:val="auto"/>
          <w:sz w:val="44"/>
          <w:szCs w:val="44"/>
        </w:rPr>
        <w:t>年</w:t>
      </w:r>
      <w:r>
        <w:rPr>
          <w:rFonts w:hint="eastAsia" w:ascii="方正小标宋简体" w:hAnsi="方正小标宋简体" w:eastAsia="方正小标宋简体" w:cs="方正小标宋简体"/>
          <w:b w:val="0"/>
          <w:bCs/>
          <w:color w:val="auto"/>
          <w:sz w:val="44"/>
          <w:szCs w:val="44"/>
          <w:lang w:val="en-US" w:eastAsia="zh-CN"/>
        </w:rPr>
        <w:t>广西实施</w:t>
      </w:r>
      <w:r>
        <w:rPr>
          <w:rFonts w:hint="eastAsia" w:ascii="方正小标宋简体" w:hAnsi="方正小标宋简体" w:eastAsia="方正小标宋简体" w:cs="方正小标宋简体"/>
          <w:b w:val="0"/>
          <w:bCs/>
          <w:color w:val="auto"/>
          <w:sz w:val="44"/>
          <w:szCs w:val="44"/>
        </w:rPr>
        <w:t>职业卫生</w:t>
      </w:r>
      <w:r>
        <w:rPr>
          <w:rFonts w:hint="eastAsia" w:ascii="方正小标宋简体" w:hAnsi="方正小标宋简体" w:eastAsia="方正小标宋简体" w:cs="方正小标宋简体"/>
          <w:b w:val="0"/>
          <w:bCs/>
          <w:color w:val="auto"/>
          <w:sz w:val="44"/>
          <w:szCs w:val="44"/>
          <w:lang w:eastAsia="zh-CN"/>
        </w:rPr>
        <w:t>和</w:t>
      </w:r>
      <w:r>
        <w:rPr>
          <w:rFonts w:hint="eastAsia" w:ascii="方正小标宋简体" w:hAnsi="方正小标宋简体" w:eastAsia="方正小标宋简体" w:cs="方正小标宋简体"/>
          <w:b w:val="0"/>
          <w:bCs/>
          <w:color w:val="auto"/>
          <w:sz w:val="44"/>
          <w:szCs w:val="44"/>
        </w:rPr>
        <w:t>放射卫生</w:t>
      </w:r>
    </w:p>
    <w:p w14:paraId="77A04CA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国家随机监督抽查计划</w:t>
      </w:r>
    </w:p>
    <w:p w14:paraId="58574DF3">
      <w:pPr>
        <w:keepNext w:val="0"/>
        <w:keepLines w:val="0"/>
        <w:pageBreakBefore w:val="0"/>
        <w:widowControl w:val="0"/>
        <w:kinsoku/>
        <w:wordWrap/>
        <w:overflowPunct/>
        <w:topLinePunct w:val="0"/>
        <w:autoSpaceDE/>
        <w:autoSpaceDN/>
        <w:bidi w:val="0"/>
        <w:adjustRightInd/>
        <w:snapToGrid/>
        <w:spacing w:line="560" w:lineRule="exact"/>
        <w:ind w:firstLine="602"/>
        <w:jc w:val="left"/>
        <w:textAlignment w:val="auto"/>
        <w:outlineLvl w:val="0"/>
        <w:rPr>
          <w:rFonts w:hint="eastAsia" w:ascii="黑体" w:hAnsi="黑体" w:eastAsia="黑体" w:cs="黑体"/>
          <w:bCs/>
          <w:color w:val="auto"/>
          <w:sz w:val="32"/>
          <w:szCs w:val="32"/>
        </w:rPr>
      </w:pPr>
    </w:p>
    <w:p w14:paraId="3154EC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ascii="黑体" w:hAnsi="黑体" w:eastAsia="黑体" w:cs="黑体"/>
          <w:bCs/>
          <w:color w:val="auto"/>
          <w:sz w:val="32"/>
          <w:szCs w:val="32"/>
        </w:rPr>
      </w:pPr>
      <w:r>
        <w:rPr>
          <w:rFonts w:hint="eastAsia" w:ascii="黑体" w:hAnsi="黑体" w:eastAsia="黑体" w:cs="黑体"/>
          <w:bCs/>
          <w:color w:val="auto"/>
          <w:sz w:val="32"/>
          <w:szCs w:val="32"/>
        </w:rPr>
        <w:t>一、</w:t>
      </w:r>
      <w:r>
        <w:rPr>
          <w:rFonts w:hint="default" w:ascii="黑体" w:hAnsi="黑体" w:eastAsia="黑体" w:cs="黑体"/>
          <w:bCs/>
          <w:color w:val="auto"/>
          <w:sz w:val="32"/>
          <w:szCs w:val="32"/>
        </w:rPr>
        <w:t>监督</w:t>
      </w:r>
      <w:r>
        <w:rPr>
          <w:rFonts w:hint="eastAsia" w:ascii="黑体" w:hAnsi="黑体" w:eastAsia="黑体" w:cs="黑体"/>
          <w:bCs/>
          <w:color w:val="auto"/>
          <w:sz w:val="32"/>
          <w:szCs w:val="32"/>
        </w:rPr>
        <w:t>检查内容</w:t>
      </w:r>
    </w:p>
    <w:p w14:paraId="44A564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宋体"/>
          <w:color w:val="auto"/>
          <w:kern w:val="0"/>
          <w:sz w:val="32"/>
          <w:szCs w:val="32"/>
        </w:rPr>
      </w:pPr>
      <w:r>
        <w:rPr>
          <w:rFonts w:hint="eastAsia" w:ascii="楷体_GB2312" w:hAnsi="楷体_GB2312" w:eastAsia="楷体_GB2312" w:cs="Times New Roman"/>
          <w:color w:val="auto"/>
          <w:kern w:val="0"/>
          <w:sz w:val="32"/>
          <w:szCs w:val="24"/>
        </w:rPr>
        <w:t>（一）用人单位职业卫生国家随机监督抽查。</w:t>
      </w:r>
      <w:r>
        <w:rPr>
          <w:rFonts w:hint="eastAsia" w:ascii="仿宋_GB2312" w:hAnsi="宋体" w:eastAsia="仿宋_GB2312" w:cs="宋体"/>
          <w:color w:val="auto"/>
          <w:kern w:val="0"/>
          <w:sz w:val="32"/>
          <w:szCs w:val="32"/>
        </w:rPr>
        <w:t>主要检查用人单位的职业病防治管理组织和</w:t>
      </w:r>
      <w:r>
        <w:rPr>
          <w:rFonts w:hint="eastAsia" w:ascii="仿宋_GB2312" w:hAnsi="宋体" w:eastAsia="仿宋_GB2312" w:cs="宋体"/>
          <w:color w:val="auto"/>
          <w:kern w:val="0"/>
          <w:sz w:val="32"/>
          <w:szCs w:val="32"/>
          <w:lang w:val="en-US" w:eastAsia="zh-CN"/>
        </w:rPr>
        <w:t>制度</w:t>
      </w:r>
      <w:r>
        <w:rPr>
          <w:rFonts w:hint="eastAsia" w:ascii="仿宋_GB2312" w:hAnsi="宋体" w:eastAsia="仿宋_GB2312" w:cs="宋体"/>
          <w:color w:val="auto"/>
          <w:kern w:val="0"/>
          <w:sz w:val="32"/>
          <w:szCs w:val="32"/>
        </w:rPr>
        <w:t>建立情况，职业卫生培训情况，建设项目职业病防护设施“三同时”开展情况，职业病危害项目申报情况，工作场所职业病危害因素</w:t>
      </w:r>
      <w:r>
        <w:rPr>
          <w:rFonts w:hint="eastAsia" w:ascii="仿宋_GB2312" w:hAnsi="宋体" w:eastAsia="仿宋_GB2312" w:cs="宋体"/>
          <w:color w:val="auto"/>
          <w:kern w:val="0"/>
          <w:sz w:val="32"/>
          <w:szCs w:val="32"/>
          <w:lang w:val="en-US" w:eastAsia="zh-CN"/>
        </w:rPr>
        <w:t>检测、</w:t>
      </w:r>
      <w:r>
        <w:rPr>
          <w:rFonts w:hint="eastAsia" w:ascii="仿宋_GB2312" w:hAnsi="宋体" w:eastAsia="仿宋_GB2312" w:cs="宋体"/>
          <w:color w:val="auto"/>
          <w:kern w:val="0"/>
          <w:sz w:val="32"/>
          <w:szCs w:val="32"/>
        </w:rPr>
        <w:t>评价开展情况，警示标识设置</w:t>
      </w:r>
      <w:r>
        <w:rPr>
          <w:rFonts w:hint="eastAsia" w:ascii="仿宋_GB2312" w:hAnsi="宋体" w:eastAsia="仿宋_GB2312" w:cs="宋体"/>
          <w:color w:val="auto"/>
          <w:kern w:val="0"/>
          <w:sz w:val="32"/>
          <w:szCs w:val="32"/>
          <w:lang w:val="en-US" w:eastAsia="zh-CN"/>
        </w:rPr>
        <w:t>等职业病危害告知</w:t>
      </w:r>
      <w:r>
        <w:rPr>
          <w:rFonts w:hint="eastAsia" w:ascii="仿宋_GB2312" w:hAnsi="宋体" w:eastAsia="仿宋_GB2312" w:cs="宋体"/>
          <w:color w:val="auto"/>
          <w:kern w:val="0"/>
          <w:sz w:val="32"/>
          <w:szCs w:val="32"/>
        </w:rPr>
        <w:t>情况，职业病防护设施、应急救援设施和个人使用的职业病防护用品配备、使用、管理情况，劳动者职业健康监护情况，职业病病人、疑似职业病病人处置情况</w:t>
      </w:r>
      <w:r>
        <w:rPr>
          <w:rFonts w:hint="eastAsia" w:ascii="仿宋_GB2312" w:hAnsi="宋体" w:eastAsia="仿宋_GB2312" w:cs="宋体"/>
          <w:color w:val="auto"/>
          <w:kern w:val="0"/>
          <w:sz w:val="32"/>
          <w:szCs w:val="32"/>
          <w:lang w:val="en-US" w:eastAsia="zh-CN"/>
        </w:rPr>
        <w:t>等</w:t>
      </w:r>
      <w:r>
        <w:rPr>
          <w:rFonts w:hint="eastAsia" w:ascii="仿宋_GB2312" w:hAnsi="宋体" w:eastAsia="仿宋_GB2312" w:cs="宋体"/>
          <w:color w:val="auto"/>
          <w:kern w:val="0"/>
          <w:sz w:val="32"/>
          <w:szCs w:val="32"/>
        </w:rPr>
        <w:t>。</w:t>
      </w:r>
    </w:p>
    <w:p w14:paraId="235085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宋体"/>
          <w:color w:val="auto"/>
          <w:kern w:val="0"/>
          <w:sz w:val="32"/>
          <w:szCs w:val="32"/>
        </w:rPr>
      </w:pPr>
      <w:r>
        <w:rPr>
          <w:rFonts w:hint="eastAsia" w:ascii="楷体_GB2312" w:hAnsi="楷体_GB2312" w:eastAsia="楷体_GB2312" w:cs="Times New Roman"/>
          <w:color w:val="auto"/>
          <w:kern w:val="0"/>
          <w:sz w:val="32"/>
          <w:szCs w:val="24"/>
        </w:rPr>
        <w:t>（二）职业卫生</w:t>
      </w:r>
      <w:r>
        <w:rPr>
          <w:rFonts w:hint="eastAsia" w:ascii="楷体_GB2312" w:hAnsi="楷体_GB2312" w:eastAsia="楷体_GB2312" w:cs="Times New Roman"/>
          <w:color w:val="auto"/>
          <w:kern w:val="0"/>
          <w:sz w:val="32"/>
          <w:szCs w:val="24"/>
          <w:lang w:eastAsia="zh-CN"/>
        </w:rPr>
        <w:t>和放射卫生</w:t>
      </w:r>
      <w:r>
        <w:rPr>
          <w:rFonts w:hint="eastAsia" w:ascii="楷体_GB2312" w:hAnsi="楷体_GB2312" w:eastAsia="楷体_GB2312" w:cs="Times New Roman"/>
          <w:color w:val="auto"/>
          <w:kern w:val="0"/>
          <w:sz w:val="32"/>
          <w:szCs w:val="24"/>
        </w:rPr>
        <w:t>技术服务机构国家随机监督抽查。</w:t>
      </w:r>
      <w:r>
        <w:rPr>
          <w:rFonts w:hint="eastAsia" w:ascii="仿宋_GB2312" w:hAnsi="宋体" w:eastAsia="仿宋_GB2312" w:cs="宋体"/>
          <w:color w:val="auto"/>
          <w:kern w:val="0"/>
          <w:sz w:val="32"/>
          <w:szCs w:val="32"/>
        </w:rPr>
        <w:t>主要检查职业卫生和放射卫生技术服务机构依照法律、法规和标准规范开展职业卫生、放射卫生技术服务活动情况，包括是否取得有效资质，是否在资质认可范围内从事技术服务活动，出具的技术报告是否存在虚假或失实等情况，人员、仪器设备、场所是否符合规定的资质条件等。</w:t>
      </w:r>
    </w:p>
    <w:p w14:paraId="611051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olor w:val="auto"/>
          <w:sz w:val="32"/>
        </w:rPr>
      </w:pPr>
      <w:r>
        <w:rPr>
          <w:rFonts w:hint="eastAsia" w:ascii="楷体_GB2312" w:hAnsi="楷体_GB2312" w:eastAsia="楷体_GB2312"/>
          <w:color w:val="auto"/>
          <w:kern w:val="0"/>
          <w:sz w:val="32"/>
        </w:rPr>
        <w:t>（</w:t>
      </w:r>
      <w:r>
        <w:rPr>
          <w:rFonts w:hint="eastAsia" w:ascii="楷体_GB2312" w:hAnsi="楷体_GB2312" w:eastAsia="楷体_GB2312"/>
          <w:color w:val="auto"/>
          <w:kern w:val="0"/>
          <w:sz w:val="32"/>
          <w:lang w:eastAsia="zh-CN"/>
        </w:rPr>
        <w:t>三</w:t>
      </w:r>
      <w:r>
        <w:rPr>
          <w:rFonts w:hint="eastAsia" w:ascii="楷体_GB2312" w:hAnsi="楷体_GB2312" w:eastAsia="楷体_GB2312"/>
          <w:color w:val="auto"/>
          <w:kern w:val="0"/>
          <w:sz w:val="32"/>
        </w:rPr>
        <w:t>）放射诊疗机构</w:t>
      </w:r>
      <w:r>
        <w:rPr>
          <w:rFonts w:hint="eastAsia" w:ascii="楷体_GB2312" w:hAnsi="楷体_GB2312" w:eastAsia="楷体_GB2312" w:cs="Times New Roman"/>
          <w:color w:val="auto"/>
          <w:kern w:val="0"/>
          <w:sz w:val="32"/>
          <w:szCs w:val="24"/>
        </w:rPr>
        <w:t>国家随机监督抽查</w:t>
      </w:r>
      <w:r>
        <w:rPr>
          <w:rFonts w:hint="eastAsia" w:ascii="楷体_GB2312" w:hAnsi="楷体_GB2312" w:eastAsia="楷体_GB2312"/>
          <w:color w:val="auto"/>
          <w:kern w:val="0"/>
          <w:sz w:val="32"/>
          <w:lang w:eastAsia="zh-CN"/>
        </w:rPr>
        <w:t>。</w:t>
      </w:r>
      <w:r>
        <w:rPr>
          <w:rFonts w:hint="eastAsia" w:ascii="仿宋_GB2312" w:hAnsi="Times New Roman" w:eastAsia="仿宋_GB2312"/>
          <w:color w:val="auto"/>
          <w:sz w:val="32"/>
        </w:rPr>
        <w:t>检查放射诊疗机构建设项目管理情况，放射诊疗场所管理及其防护措施落实情况，放射诊疗设备管理情况，放射工作人员管理情况，开展放射诊疗人员条件管理情况，对患者、受检者及其他非放射工作人员的防护情况，放射事件预防处置情况，职业病病人处置情况，档案管理与体系建设情况，</w:t>
      </w:r>
      <w:r>
        <w:rPr>
          <w:rFonts w:hint="default" w:ascii="Times New Roman" w:hAnsi="Times New Roman" w:eastAsia="仿宋_GB2312" w:cs="Times New Roman"/>
          <w:color w:val="auto"/>
          <w:sz w:val="32"/>
        </w:rPr>
        <w:t>X</w:t>
      </w:r>
      <w:r>
        <w:rPr>
          <w:rFonts w:hint="eastAsia" w:ascii="仿宋_GB2312" w:hAnsi="Times New Roman" w:eastAsia="仿宋_GB2312"/>
          <w:color w:val="auto"/>
          <w:sz w:val="32"/>
        </w:rPr>
        <w:t>射线诊断管理情况，介入放射诊疗管理情况，核医学诊疗管理情况，放射治疗管理情况等。</w:t>
      </w:r>
    </w:p>
    <w:p w14:paraId="573C01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lang w:val="en-US" w:eastAsia="zh-CN"/>
        </w:rPr>
      </w:pPr>
      <w:r>
        <w:rPr>
          <w:rFonts w:hint="eastAsia" w:ascii="楷体_GB2312" w:hAnsi="楷体_GB2312" w:eastAsia="楷体_GB2312"/>
          <w:color w:val="auto"/>
          <w:kern w:val="0"/>
          <w:sz w:val="32"/>
        </w:rPr>
        <w:t>（</w:t>
      </w:r>
      <w:r>
        <w:rPr>
          <w:rFonts w:hint="eastAsia" w:ascii="楷体_GB2312" w:hAnsi="楷体_GB2312" w:eastAsia="楷体_GB2312"/>
          <w:color w:val="auto"/>
          <w:kern w:val="0"/>
          <w:sz w:val="32"/>
          <w:lang w:eastAsia="zh-CN"/>
        </w:rPr>
        <w:t>四</w:t>
      </w:r>
      <w:r>
        <w:rPr>
          <w:rFonts w:hint="eastAsia" w:ascii="楷体_GB2312" w:hAnsi="楷体_GB2312" w:eastAsia="楷体_GB2312"/>
          <w:color w:val="auto"/>
          <w:kern w:val="0"/>
          <w:sz w:val="32"/>
        </w:rPr>
        <w:t>）职业健康检查、职业病诊断机构</w:t>
      </w:r>
      <w:r>
        <w:rPr>
          <w:rFonts w:hint="eastAsia" w:ascii="楷体_GB2312" w:hAnsi="楷体_GB2312" w:eastAsia="楷体_GB2312" w:cs="Times New Roman"/>
          <w:color w:val="auto"/>
          <w:kern w:val="0"/>
          <w:sz w:val="32"/>
          <w:szCs w:val="24"/>
        </w:rPr>
        <w:t>国家随机监督抽查</w:t>
      </w:r>
      <w:r>
        <w:rPr>
          <w:rFonts w:hint="eastAsia" w:ascii="楷体_GB2312" w:hAnsi="楷体_GB2312" w:eastAsia="楷体_GB2312"/>
          <w:color w:val="auto"/>
          <w:kern w:val="0"/>
          <w:sz w:val="32"/>
          <w:lang w:eastAsia="zh-CN"/>
        </w:rPr>
        <w:t>。</w:t>
      </w:r>
      <w:r>
        <w:rPr>
          <w:rFonts w:hint="eastAsia" w:ascii="仿宋_GB2312" w:hAnsi="仿宋" w:eastAsia="仿宋_GB2312"/>
          <w:color w:val="auto"/>
          <w:kern w:val="0"/>
          <w:sz w:val="32"/>
        </w:rPr>
        <w:t>检查职业病诊断机构、职业健康检查机构是否按照备案范围开展工作；职业健康检查机构是否指定主检医师或者指定的主检医师是否取得职业病诊断资格；职业病诊断机构出具的报告是否符合相关要求，仪器设备场所是否满足工作要求，质量控制、程序是否符合相关要求，是否按照规定参加质量控制评估，或者质量控制评估不合格是否按要求整改；是否出具虚假证明文件，档案管理是否符合相关要求，管理制度是否符合相关要求，劳动者保护是否符合相关要求，职业健康检查结果、职业禁忌、疑似职业病、职业病的告知、通知、信息报告是否符合相关要求等。</w:t>
      </w:r>
    </w:p>
    <w:p w14:paraId="2CA707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工作要求</w:t>
      </w:r>
    </w:p>
    <w:p w14:paraId="3FF46A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lang w:eastAsia="zh-CN"/>
        </w:rPr>
      </w:pPr>
      <w:r>
        <w:rPr>
          <w:rFonts w:hint="eastAsia" w:ascii="仿宋_GB2312" w:hAnsi="宋体" w:eastAsia="仿宋_GB2312" w:cs="宋体"/>
          <w:color w:val="auto"/>
          <w:kern w:val="0"/>
          <w:sz w:val="32"/>
          <w:szCs w:val="32"/>
        </w:rPr>
        <w:t>（一）</w:t>
      </w:r>
      <w:r>
        <w:rPr>
          <w:rFonts w:hint="eastAsia" w:ascii="仿宋_GB2312" w:hAnsi="宋体" w:eastAsia="仿宋_GB2312" w:cs="宋体"/>
          <w:color w:val="auto"/>
          <w:kern w:val="0"/>
          <w:sz w:val="32"/>
          <w:szCs w:val="32"/>
          <w:lang w:val="en-US" w:eastAsia="zh-CN"/>
        </w:rPr>
        <w:t>自治区卫生健康委职业健康处与自治区疾控局综合监督处根据</w:t>
      </w:r>
      <w:r>
        <w:rPr>
          <w:rFonts w:hint="default" w:ascii="Times New Roman" w:hAnsi="Times New Roman" w:eastAsia="仿宋_GB2312" w:cs="Times New Roman"/>
          <w:color w:val="auto"/>
          <w:kern w:val="0"/>
          <w:sz w:val="32"/>
          <w:szCs w:val="32"/>
          <w:lang w:val="en-US" w:eastAsia="zh-CN"/>
        </w:rPr>
        <w:t>2025</w:t>
      </w:r>
      <w:r>
        <w:rPr>
          <w:rFonts w:hint="eastAsia" w:ascii="仿宋_GB2312" w:hAnsi="宋体" w:eastAsia="仿宋_GB2312" w:cs="宋体"/>
          <w:color w:val="auto"/>
          <w:kern w:val="0"/>
          <w:sz w:val="32"/>
          <w:szCs w:val="32"/>
          <w:lang w:val="en-US" w:eastAsia="zh-CN"/>
        </w:rPr>
        <w:t>年职业卫生和放射卫生国家随机监督抽查计划要求确定我区任务清单。各地根据任务清单，结合当地实际统筹安排好任务落实。</w:t>
      </w:r>
    </w:p>
    <w:p w14:paraId="701AFA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（二）</w:t>
      </w:r>
      <w:r>
        <w:rPr>
          <w:rFonts w:hint="eastAsia" w:ascii="仿宋_GB2312" w:hAnsi="仿宋_GB2312" w:eastAsia="仿宋_GB2312" w:cs="仿宋_GB2312"/>
          <w:color w:val="auto"/>
          <w:kern w:val="0"/>
          <w:sz w:val="32"/>
          <w:szCs w:val="32"/>
          <w:lang w:val="en-US" w:eastAsia="zh-CN"/>
        </w:rPr>
        <w:t>各级疾控部门应统筹安排好监督检查工作，严格贯彻落实《国务院办公厅关于严格规范涉企行政检查的意见》的各项要求；创新涉企监督检查方式，大力推进精准检查，推广“监督+服务”和智慧化监管模式，能采取书面核查、信息共享、智慧监管等非现场执法检查方式的，可不进行现场监督检查；有机贯通“综合查一次”“双随机、一公开”抽查等各类监督检查方式，避免对同一单位因同一事项重复检查。在对用人单位监督检查过程中，对职业卫生、放射卫生技术服务机构提供的监测数据等技术服务结果、对职业健康检查机构提供职业健康检查情况，可采取“监督+服务”模式进行指导服务改进和监督延伸检查。</w:t>
      </w:r>
    </w:p>
    <w:p w14:paraId="5DFC0A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lang w:val="en-US" w:eastAsia="zh-CN"/>
        </w:rPr>
      </w:pP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spacing w:val="7"/>
          <w:sz w:val="32"/>
          <w:szCs w:val="32"/>
        </w:rPr>
        <w:t>各</w:t>
      </w:r>
      <w:r>
        <w:rPr>
          <w:rFonts w:hint="eastAsia" w:ascii="仿宋_GB2312" w:hAnsi="仿宋_GB2312" w:eastAsia="仿宋_GB2312" w:cs="仿宋_GB2312"/>
          <w:color w:val="auto"/>
          <w:spacing w:val="7"/>
          <w:sz w:val="32"/>
          <w:szCs w:val="32"/>
          <w:lang w:val="en-US" w:eastAsia="zh-CN"/>
        </w:rPr>
        <w:t>地</w:t>
      </w:r>
      <w:r>
        <w:rPr>
          <w:rFonts w:hint="eastAsia" w:ascii="仿宋_GB2312" w:hAnsi="仿宋_GB2312" w:eastAsia="仿宋_GB2312" w:cs="仿宋_GB2312"/>
          <w:color w:val="auto"/>
          <w:spacing w:val="8"/>
          <w:sz w:val="32"/>
          <w:szCs w:val="32"/>
        </w:rPr>
        <w:t>要切实加强对上报数据信息的审核，按照抽查工作计划表及监督信息报告卡要求填报监督检查和案件查处数据信息。所有数据以信息报告系统填报</w:t>
      </w:r>
      <w:r>
        <w:rPr>
          <w:rFonts w:hint="eastAsia" w:ascii="仿宋_GB2312" w:hAnsi="仿宋_GB2312" w:eastAsia="仿宋_GB2312" w:cs="仿宋_GB2312"/>
          <w:color w:val="auto"/>
          <w:spacing w:val="10"/>
          <w:sz w:val="32"/>
          <w:szCs w:val="32"/>
        </w:rPr>
        <w:t>数据为准，不需另外报送纸质报表，请于</w:t>
      </w:r>
      <w:r>
        <w:rPr>
          <w:rFonts w:hint="default" w:ascii="Times New Roman" w:hAnsi="Times New Roman" w:eastAsia="仿宋_GB2312" w:cs="Times New Roman"/>
          <w:color w:val="auto"/>
          <w:sz w:val="32"/>
          <w:szCs w:val="32"/>
          <w:u w:val="none"/>
          <w:lang w:val="en-US" w:eastAsia="zh-CN"/>
        </w:rPr>
        <w:t>2025</w:t>
      </w:r>
      <w:r>
        <w:rPr>
          <w:rFonts w:hint="eastAsia" w:ascii="仿宋_GB2312" w:hAnsi="仿宋_GB2312" w:eastAsia="仿宋_GB2312" w:cs="仿宋_GB2312"/>
          <w:color w:val="auto"/>
          <w:sz w:val="32"/>
          <w:szCs w:val="32"/>
          <w:u w:val="none"/>
          <w:lang w:val="en-US" w:eastAsia="zh-CN"/>
        </w:rPr>
        <w:t>年</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1</w:t>
      </w:r>
      <w:r>
        <w:rPr>
          <w:rFonts w:hint="eastAsia" w:ascii="仿宋_GB2312" w:hAnsi="仿宋_GB2312" w:eastAsia="仿宋_GB2312" w:cs="仿宋_GB2312"/>
          <w:color w:val="auto"/>
          <w:sz w:val="32"/>
          <w:szCs w:val="32"/>
          <w:u w:val="none"/>
        </w:rPr>
        <w:t>月</w:t>
      </w:r>
      <w:r>
        <w:rPr>
          <w:rFonts w:hint="default" w:ascii="Times New Roman" w:hAnsi="Times New Roman" w:eastAsia="仿宋_GB2312" w:cs="Times New Roman"/>
          <w:color w:val="auto"/>
          <w:sz w:val="32"/>
          <w:szCs w:val="32"/>
          <w:u w:val="none"/>
          <w:lang w:val="en-US" w:eastAsia="zh-CN"/>
        </w:rPr>
        <w:t>25</w:t>
      </w:r>
      <w:r>
        <w:rPr>
          <w:rFonts w:hint="eastAsia" w:ascii="仿宋_GB2312" w:hAnsi="仿宋_GB2312" w:eastAsia="仿宋_GB2312" w:cs="仿宋_GB2312"/>
          <w:color w:val="auto"/>
          <w:sz w:val="32"/>
          <w:szCs w:val="32"/>
          <w:u w:val="none"/>
        </w:rPr>
        <w:t>日</w:t>
      </w:r>
      <w:r>
        <w:rPr>
          <w:rFonts w:hint="eastAsia" w:ascii="仿宋_GB2312" w:hAnsi="仿宋_GB2312" w:eastAsia="仿宋_GB2312" w:cs="仿宋_GB2312"/>
          <w:color w:val="auto"/>
          <w:spacing w:val="5"/>
          <w:sz w:val="32"/>
          <w:szCs w:val="32"/>
        </w:rPr>
        <w:t>前完成全部检查任务和数据填报工作</w:t>
      </w:r>
      <w:r>
        <w:rPr>
          <w:rFonts w:hint="eastAsia" w:ascii="仿宋_GB2312" w:hAnsi="仿宋_GB2312" w:eastAsia="仿宋_GB2312" w:cs="仿宋_GB2312"/>
          <w:color w:val="auto"/>
          <w:spacing w:val="5"/>
          <w:sz w:val="32"/>
          <w:szCs w:val="32"/>
          <w:lang w:eastAsia="zh-CN"/>
        </w:rPr>
        <w:t>，并</w:t>
      </w:r>
      <w:r>
        <w:rPr>
          <w:rFonts w:hint="eastAsia" w:ascii="仿宋_GB2312" w:hAnsi="仿宋_GB2312" w:eastAsia="仿宋_GB2312" w:cs="仿宋_GB2312"/>
          <w:color w:val="auto"/>
          <w:sz w:val="32"/>
          <w:szCs w:val="32"/>
          <w:u w:val="none"/>
          <w:lang w:eastAsia="zh-CN"/>
        </w:rPr>
        <w:t>于</w:t>
      </w:r>
      <w:r>
        <w:rPr>
          <w:rFonts w:hint="default" w:ascii="Times New Roman" w:hAnsi="Times New Roman" w:eastAsia="仿宋_GB2312" w:cs="Times New Roman"/>
          <w:color w:val="auto"/>
          <w:sz w:val="32"/>
          <w:szCs w:val="32"/>
          <w:u w:val="none"/>
          <w:lang w:val="en-US" w:eastAsia="zh-CN"/>
        </w:rPr>
        <w:t>2025</w:t>
      </w:r>
      <w:r>
        <w:rPr>
          <w:rFonts w:hint="eastAsia" w:ascii="仿宋_GB2312" w:hAnsi="仿宋_GB2312" w:eastAsia="仿宋_GB2312" w:cs="仿宋_GB2312"/>
          <w:color w:val="auto"/>
          <w:sz w:val="32"/>
          <w:szCs w:val="32"/>
          <w:u w:val="none"/>
          <w:lang w:val="en-US" w:eastAsia="zh-CN"/>
        </w:rPr>
        <w:t>年</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1</w:t>
      </w:r>
      <w:r>
        <w:rPr>
          <w:rFonts w:hint="eastAsia" w:ascii="仿宋_GB2312" w:hAnsi="仿宋_GB2312" w:eastAsia="仿宋_GB2312" w:cs="仿宋_GB2312"/>
          <w:color w:val="auto"/>
          <w:sz w:val="32"/>
          <w:szCs w:val="32"/>
          <w:u w:val="none"/>
        </w:rPr>
        <w:t>月</w:t>
      </w:r>
      <w:r>
        <w:rPr>
          <w:rFonts w:hint="default" w:ascii="Times New Roman" w:hAnsi="Times New Roman" w:eastAsia="仿宋_GB2312" w:cs="Times New Roman"/>
          <w:color w:val="auto"/>
          <w:sz w:val="32"/>
          <w:szCs w:val="32"/>
          <w:u w:val="none"/>
          <w:lang w:val="en-US" w:eastAsia="zh-CN"/>
        </w:rPr>
        <w:t>25</w:t>
      </w:r>
      <w:r>
        <w:rPr>
          <w:rFonts w:hint="eastAsia" w:ascii="仿宋_GB2312" w:hAnsi="仿宋_GB2312" w:eastAsia="仿宋_GB2312" w:cs="仿宋_GB2312"/>
          <w:color w:val="auto"/>
          <w:sz w:val="32"/>
          <w:szCs w:val="32"/>
          <w:u w:val="none"/>
        </w:rPr>
        <w:t>日</w:t>
      </w:r>
      <w:r>
        <w:rPr>
          <w:rFonts w:hint="eastAsia" w:ascii="仿宋_GB2312" w:hAnsi="仿宋_GB2312" w:eastAsia="仿宋_GB2312" w:cs="仿宋_GB2312"/>
          <w:color w:val="auto"/>
          <w:sz w:val="32"/>
          <w:szCs w:val="32"/>
          <w:u w:val="none"/>
          <w:lang w:eastAsia="zh-CN"/>
        </w:rPr>
        <w:t>前</w:t>
      </w:r>
      <w:r>
        <w:rPr>
          <w:rFonts w:hint="eastAsia" w:ascii="仿宋_GB2312" w:hAnsi="仿宋_GB2312" w:eastAsia="仿宋_GB2312" w:cs="仿宋_GB2312"/>
          <w:color w:val="auto"/>
          <w:sz w:val="32"/>
          <w:szCs w:val="32"/>
          <w:u w:val="none"/>
          <w:lang w:val="en-US" w:eastAsia="zh-CN"/>
        </w:rPr>
        <w:t>将</w:t>
      </w:r>
      <w:r>
        <w:rPr>
          <w:rFonts w:hint="eastAsia" w:ascii="仿宋_GB2312" w:hAnsi="仿宋_GB2312" w:eastAsia="仿宋_GB2312" w:cs="仿宋_GB2312"/>
          <w:color w:val="auto"/>
          <w:kern w:val="0"/>
          <w:sz w:val="32"/>
          <w:szCs w:val="32"/>
          <w:lang w:val="en-US" w:eastAsia="zh-CN"/>
        </w:rPr>
        <w:t>辖区职业卫生和放射卫生</w:t>
      </w:r>
      <w:r>
        <w:rPr>
          <w:rFonts w:hint="eastAsia" w:ascii="仿宋_GB2312" w:hAnsi="仿宋_GB2312" w:eastAsia="仿宋_GB2312" w:cs="仿宋_GB2312"/>
          <w:color w:val="auto"/>
          <w:kern w:val="0"/>
          <w:sz w:val="32"/>
          <w:szCs w:val="32"/>
          <w:lang w:eastAsia="zh-CN"/>
        </w:rPr>
        <w:t>国家随机监督</w:t>
      </w:r>
      <w:r>
        <w:rPr>
          <w:rFonts w:hint="eastAsia" w:ascii="仿宋_GB2312" w:hAnsi="仿宋_GB2312" w:eastAsia="仿宋_GB2312" w:cs="仿宋_GB2312"/>
          <w:color w:val="auto"/>
          <w:kern w:val="0"/>
          <w:sz w:val="32"/>
          <w:szCs w:val="32"/>
        </w:rPr>
        <w:t>抽查</w:t>
      </w:r>
      <w:r>
        <w:rPr>
          <w:rFonts w:hint="eastAsia" w:ascii="仿宋_GB2312" w:hAnsi="仿宋_GB2312" w:eastAsia="仿宋_GB2312" w:cs="仿宋_GB2312"/>
          <w:color w:val="auto"/>
          <w:kern w:val="0"/>
          <w:sz w:val="32"/>
          <w:szCs w:val="32"/>
          <w:lang w:eastAsia="zh-CN"/>
        </w:rPr>
        <w:t>工作总结</w:t>
      </w:r>
      <w:r>
        <w:rPr>
          <w:rFonts w:hint="eastAsia" w:ascii="仿宋_GB2312" w:hAnsi="仿宋_GB2312" w:eastAsia="仿宋_GB2312" w:cs="仿宋_GB2312"/>
          <w:color w:val="auto"/>
          <w:kern w:val="0"/>
          <w:sz w:val="32"/>
          <w:szCs w:val="32"/>
        </w:rPr>
        <w:t>报送</w:t>
      </w:r>
      <w:r>
        <w:rPr>
          <w:rFonts w:hint="eastAsia" w:ascii="仿宋_GB2312" w:hAnsi="仿宋_GB2312" w:eastAsia="仿宋_GB2312" w:cs="仿宋_GB2312"/>
          <w:color w:val="auto"/>
          <w:kern w:val="0"/>
          <w:sz w:val="32"/>
          <w:szCs w:val="32"/>
          <w:lang w:val="en-US" w:eastAsia="zh-CN"/>
        </w:rPr>
        <w:t>自治区卫生监督所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自治区卫生监督所</w:t>
      </w:r>
      <w:r>
        <w:rPr>
          <w:rFonts w:hint="eastAsia" w:ascii="仿宋_GB2312" w:hAnsi="仿宋_GB2312" w:eastAsia="仿宋_GB2312" w:cs="仿宋_GB2312"/>
          <w:color w:val="auto"/>
          <w:sz w:val="32"/>
          <w:szCs w:val="32"/>
          <w:lang w:val="en-US" w:eastAsia="zh-CN"/>
        </w:rPr>
        <w:t>汇总</w:t>
      </w:r>
      <w:r>
        <w:rPr>
          <w:rFonts w:hint="eastAsia" w:ascii="仿宋_GB2312" w:hAnsi="仿宋_GB2312" w:eastAsia="仿宋_GB2312" w:cs="仿宋_GB2312"/>
          <w:color w:val="auto"/>
          <w:kern w:val="0"/>
          <w:sz w:val="32"/>
          <w:szCs w:val="32"/>
          <w:lang w:val="en-US" w:eastAsia="zh-CN"/>
        </w:rPr>
        <w:t>后于</w:t>
      </w:r>
      <w:r>
        <w:rPr>
          <w:rFonts w:hint="default" w:ascii="Times New Roman" w:hAnsi="Times New Roman" w:eastAsia="仿宋_GB2312" w:cs="Times New Roman"/>
          <w:color w:val="auto"/>
          <w:sz w:val="32"/>
          <w:szCs w:val="32"/>
          <w:u w:val="none"/>
          <w:lang w:val="en-US" w:eastAsia="zh-CN"/>
        </w:rPr>
        <w:t>2025</w:t>
      </w:r>
      <w:r>
        <w:rPr>
          <w:rFonts w:hint="eastAsia" w:ascii="仿宋_GB2312" w:hAnsi="仿宋_GB2312" w:eastAsia="仿宋_GB2312" w:cs="仿宋_GB2312"/>
          <w:color w:val="auto"/>
          <w:sz w:val="32"/>
          <w:szCs w:val="32"/>
          <w:u w:val="none"/>
          <w:lang w:val="en-US" w:eastAsia="zh-CN"/>
        </w:rPr>
        <w:t>年</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1</w:t>
      </w:r>
      <w:r>
        <w:rPr>
          <w:rFonts w:hint="eastAsia" w:ascii="仿宋_GB2312" w:hAnsi="仿宋_GB2312" w:eastAsia="仿宋_GB2312" w:cs="仿宋_GB2312"/>
          <w:color w:val="auto"/>
          <w:sz w:val="32"/>
          <w:szCs w:val="32"/>
          <w:u w:val="none"/>
        </w:rPr>
        <w:t>月</w:t>
      </w:r>
      <w:r>
        <w:rPr>
          <w:rFonts w:hint="default" w:ascii="Times New Roman" w:hAnsi="Times New Roman" w:eastAsia="仿宋_GB2312" w:cs="Times New Roman"/>
          <w:color w:val="auto"/>
          <w:sz w:val="32"/>
          <w:szCs w:val="32"/>
          <w:u w:val="none"/>
          <w:lang w:val="en-US" w:eastAsia="zh-CN"/>
        </w:rPr>
        <w:t>30</w:t>
      </w:r>
      <w:r>
        <w:rPr>
          <w:rFonts w:hint="eastAsia" w:ascii="仿宋_GB2312" w:hAnsi="仿宋_GB2312" w:eastAsia="仿宋_GB2312" w:cs="仿宋_GB2312"/>
          <w:color w:val="auto"/>
          <w:sz w:val="32"/>
          <w:szCs w:val="32"/>
          <w:u w:val="none"/>
        </w:rPr>
        <w:t>日</w:t>
      </w:r>
      <w:r>
        <w:rPr>
          <w:rFonts w:hint="eastAsia" w:ascii="仿宋_GB2312" w:hAnsi="仿宋_GB2312" w:eastAsia="仿宋_GB2312" w:cs="仿宋_GB2312"/>
          <w:color w:val="auto"/>
          <w:sz w:val="32"/>
          <w:szCs w:val="32"/>
          <w:u w:val="none"/>
          <w:lang w:eastAsia="zh-CN"/>
        </w:rPr>
        <w:t>前</w:t>
      </w:r>
      <w:r>
        <w:rPr>
          <w:rFonts w:hint="eastAsia" w:ascii="仿宋_GB2312" w:hAnsi="仿宋_GB2312" w:eastAsia="仿宋_GB2312" w:cs="仿宋_GB2312"/>
          <w:color w:val="auto"/>
          <w:sz w:val="32"/>
          <w:szCs w:val="32"/>
          <w:u w:val="none"/>
          <w:lang w:val="en-US" w:eastAsia="zh-CN"/>
        </w:rPr>
        <w:t>报送自治区疾控局综合监督处。</w:t>
      </w:r>
    </w:p>
    <w:p w14:paraId="12933A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联系人：</w:t>
      </w:r>
      <w:r>
        <w:rPr>
          <w:rFonts w:hint="eastAsia" w:ascii="Times New Roman" w:hAnsi="Times New Roman" w:eastAsia="仿宋_GB2312" w:cs="Times New Roman"/>
          <w:color w:val="auto"/>
          <w:kern w:val="2"/>
          <w:sz w:val="32"/>
          <w:szCs w:val="32"/>
          <w:lang w:val="en-US" w:eastAsia="zh-CN"/>
        </w:rPr>
        <w:t>自治区卫生监督所公共卫生监督管理科 潘赟</w:t>
      </w:r>
    </w:p>
    <w:p w14:paraId="254360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rPr>
      </w:pPr>
      <w:r>
        <w:rPr>
          <w:rFonts w:hint="eastAsia" w:ascii="Times New Roman" w:hAnsi="Times New Roman" w:eastAsia="仿宋_GB2312" w:cs="Times New Roman"/>
          <w:color w:val="auto"/>
          <w:kern w:val="2"/>
          <w:sz w:val="32"/>
          <w:szCs w:val="32"/>
        </w:rPr>
        <w:t>电</w:t>
      </w:r>
      <w:r>
        <w:rPr>
          <w:rFonts w:hint="eastAsia" w:ascii="Times New Roman" w:hAnsi="Times New Roman" w:eastAsia="仿宋_GB2312" w:cs="Times New Roman"/>
          <w:color w:val="auto"/>
          <w:kern w:val="2"/>
          <w:sz w:val="32"/>
          <w:szCs w:val="32"/>
          <w:lang w:val="en-US" w:eastAsia="zh-CN"/>
        </w:rPr>
        <w:t xml:space="preserve">  </w:t>
      </w:r>
      <w:r>
        <w:rPr>
          <w:rFonts w:hint="eastAsia" w:ascii="Times New Roman" w:hAnsi="Times New Roman" w:eastAsia="仿宋_GB2312" w:cs="Times New Roman"/>
          <w:color w:val="auto"/>
          <w:kern w:val="2"/>
          <w:sz w:val="32"/>
          <w:szCs w:val="32"/>
        </w:rPr>
        <w:t>话：</w:t>
      </w:r>
      <w:r>
        <w:rPr>
          <w:rFonts w:hint="default" w:ascii="Times New Roman" w:hAnsi="Times New Roman" w:eastAsia="仿宋_GB2312" w:cs="Times New Roman"/>
          <w:color w:val="auto"/>
          <w:kern w:val="2"/>
          <w:sz w:val="32"/>
          <w:szCs w:val="32"/>
          <w:lang w:val="en-US" w:eastAsia="zh-CN"/>
        </w:rPr>
        <w:t>0771</w:t>
      </w:r>
      <w:r>
        <w:rPr>
          <w:rFonts w:hint="default" w:cs="Times New Roman"/>
          <w:color w:val="auto"/>
          <w:kern w:val="2"/>
          <w:sz w:val="32"/>
          <w:szCs w:val="32"/>
          <w:lang w:val="en" w:eastAsia="zh-CN"/>
        </w:rPr>
        <w:t>－</w:t>
      </w:r>
      <w:r>
        <w:rPr>
          <w:rFonts w:hint="default" w:ascii="Times New Roman" w:hAnsi="Times New Roman" w:eastAsia="仿宋_GB2312" w:cs="Times New Roman"/>
          <w:color w:val="auto"/>
          <w:kern w:val="2"/>
          <w:sz w:val="32"/>
          <w:szCs w:val="32"/>
          <w:lang w:val="en-US" w:eastAsia="zh-CN"/>
        </w:rPr>
        <w:t>5319467</w:t>
      </w:r>
    </w:p>
    <w:p w14:paraId="164756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rPr>
      </w:pPr>
      <w:r>
        <w:rPr>
          <w:rFonts w:hint="eastAsia" w:ascii="Times New Roman" w:hAnsi="Times New Roman" w:eastAsia="仿宋_GB2312" w:cs="Times New Roman"/>
          <w:color w:val="auto"/>
          <w:kern w:val="2"/>
          <w:sz w:val="32"/>
          <w:szCs w:val="32"/>
          <w:lang w:val="en-US" w:eastAsia="zh-CN"/>
        </w:rPr>
        <w:t>邮</w:t>
      </w:r>
      <w:r>
        <w:rPr>
          <w:rFonts w:hint="eastAsia" w:ascii="Times New Roman" w:hAnsi="Times New Roman" w:eastAsia="仿宋_GB2312" w:cs="Times New Roman"/>
          <w:color w:val="auto"/>
          <w:kern w:val="2"/>
          <w:sz w:val="32"/>
          <w:szCs w:val="32"/>
          <w:highlight w:val="none"/>
          <w:lang w:val="en" w:eastAsia="zh-CN"/>
        </w:rPr>
        <w:t xml:space="preserve">  </w:t>
      </w:r>
      <w:r>
        <w:rPr>
          <w:rFonts w:hint="eastAsia" w:ascii="Times New Roman" w:hAnsi="Times New Roman" w:eastAsia="仿宋_GB2312" w:cs="Times New Roman"/>
          <w:color w:val="auto"/>
          <w:kern w:val="2"/>
          <w:sz w:val="32"/>
          <w:szCs w:val="32"/>
          <w:lang w:val="en-US" w:eastAsia="zh-CN"/>
        </w:rPr>
        <w:t>箱</w:t>
      </w:r>
      <w:r>
        <w:rPr>
          <w:rFonts w:hint="eastAsia" w:ascii="Times New Roman" w:hAnsi="Times New Roman" w:eastAsia="仿宋_GB2312" w:cs="Times New Roman"/>
          <w:color w:val="auto"/>
          <w:kern w:val="2"/>
          <w:sz w:val="32"/>
          <w:szCs w:val="32"/>
          <w:highlight w:val="none"/>
          <w:lang w:val="en" w:eastAsia="zh-CN"/>
        </w:rPr>
        <w:t>：</w:t>
      </w:r>
      <w:r>
        <w:rPr>
          <w:rFonts w:hint="default" w:ascii="Times New Roman" w:hAnsi="Times New Roman" w:eastAsia="仿宋_GB2312" w:cs="Times New Roman"/>
          <w:color w:val="auto"/>
          <w:kern w:val="2"/>
          <w:sz w:val="32"/>
          <w:szCs w:val="32"/>
          <w:highlight w:val="none"/>
          <w:lang w:val="en-US" w:eastAsia="zh-CN"/>
        </w:rPr>
        <w:t>gxwsjd3k@wsjkw.gxzf.gov.cn</w:t>
      </w:r>
    </w:p>
    <w:p w14:paraId="69C911D0">
      <w:pPr>
        <w:keepNext w:val="0"/>
        <w:keepLines w:val="0"/>
        <w:pageBreakBefore w:val="0"/>
        <w:widowControl w:val="0"/>
        <w:kinsoku/>
        <w:wordWrap/>
        <w:overflowPunct/>
        <w:topLinePunct w:val="0"/>
        <w:autoSpaceDE/>
        <w:autoSpaceDN/>
        <w:bidi w:val="0"/>
        <w:adjustRightInd/>
        <w:snapToGrid/>
        <w:spacing w:line="560" w:lineRule="exact"/>
        <w:ind w:firstLine="561"/>
        <w:jc w:val="left"/>
        <w:textAlignment w:val="auto"/>
        <w:outlineLvl w:val="0"/>
        <w:rPr>
          <w:rFonts w:hint="eastAsia" w:ascii="仿宋_GB2312" w:hAnsi="仿宋_GB2312" w:eastAsia="仿宋_GB2312" w:cs="仿宋_GB2312"/>
          <w:color w:val="auto"/>
          <w:w w:val="100"/>
          <w:kern w:val="0"/>
          <w:sz w:val="32"/>
          <w:szCs w:val="32"/>
          <w:lang w:val="en-US" w:eastAsia="zh-CN"/>
        </w:rPr>
      </w:pPr>
    </w:p>
    <w:p w14:paraId="12F1D1CF">
      <w:pPr>
        <w:keepNext w:val="0"/>
        <w:keepLines w:val="0"/>
        <w:pageBreakBefore w:val="0"/>
        <w:widowControl w:val="0"/>
        <w:kinsoku/>
        <w:wordWrap/>
        <w:overflowPunct/>
        <w:topLinePunct w:val="0"/>
        <w:autoSpaceDE/>
        <w:autoSpaceDN/>
        <w:bidi w:val="0"/>
        <w:adjustRightInd/>
        <w:snapToGrid/>
        <w:spacing w:line="560" w:lineRule="exact"/>
        <w:ind w:left="1840" w:leftChars="200" w:hanging="1200" w:hangingChars="375"/>
        <w:jc w:val="both"/>
        <w:textAlignment w:val="auto"/>
        <w:outlineLvl w:val="0"/>
        <w:rPr>
          <w:rFonts w:hint="eastAsia" w:ascii="Times New Roman" w:hAnsi="Times New Roman" w:eastAsia="仿宋_GB2312" w:cs="Times New Roman"/>
          <w:color w:val="auto"/>
          <w:spacing w:val="0"/>
          <w:w w:val="100"/>
          <w:kern w:val="0"/>
          <w:sz w:val="32"/>
          <w:szCs w:val="32"/>
          <w:lang w:bidi="ar"/>
        </w:rPr>
      </w:pPr>
      <w:r>
        <w:rPr>
          <w:rFonts w:hint="eastAsia" w:ascii="Times New Roman" w:hAnsi="Times New Roman" w:eastAsia="仿宋_GB2312" w:cs="Times New Roman"/>
          <w:color w:val="auto"/>
          <w:spacing w:val="0"/>
          <w:w w:val="100"/>
          <w:kern w:val="0"/>
          <w:sz w:val="32"/>
          <w:szCs w:val="32"/>
          <w:lang w:bidi="ar"/>
        </w:rPr>
        <w:t>附表：</w:t>
      </w:r>
      <w:r>
        <w:rPr>
          <w:rFonts w:hint="default" w:ascii="Times New Roman" w:hAnsi="Times New Roman" w:eastAsia="仿宋_GB2312" w:cs="Times New Roman"/>
          <w:color w:val="auto"/>
          <w:spacing w:val="0"/>
          <w:w w:val="100"/>
          <w:kern w:val="0"/>
          <w:sz w:val="32"/>
          <w:szCs w:val="32"/>
          <w:lang w:bidi="ar"/>
        </w:rPr>
        <w:t>1</w:t>
      </w:r>
      <w:r>
        <w:rPr>
          <w:rFonts w:hint="eastAsia" w:ascii="Times New Roman" w:hAnsi="Times New Roman" w:eastAsia="仿宋_GB2312" w:cs="Times New Roman"/>
          <w:color w:val="auto"/>
          <w:spacing w:val="0"/>
          <w:w w:val="100"/>
          <w:kern w:val="0"/>
          <w:sz w:val="32"/>
          <w:szCs w:val="32"/>
          <w:lang w:bidi="ar"/>
        </w:rPr>
        <w:t>.</w:t>
      </w:r>
      <w:r>
        <w:rPr>
          <w:rFonts w:hint="default" w:ascii="Times New Roman" w:hAnsi="Times New Roman" w:eastAsia="仿宋_GB2312" w:cs="Times New Roman"/>
          <w:color w:val="auto"/>
          <w:spacing w:val="-6"/>
          <w:w w:val="100"/>
          <w:kern w:val="0"/>
          <w:sz w:val="32"/>
          <w:szCs w:val="32"/>
          <w:lang w:bidi="ar"/>
        </w:rPr>
        <w:t>2025</w:t>
      </w:r>
      <w:r>
        <w:rPr>
          <w:rFonts w:hint="eastAsia" w:ascii="Times New Roman" w:hAnsi="Times New Roman" w:eastAsia="仿宋_GB2312" w:cs="Times New Roman"/>
          <w:color w:val="auto"/>
          <w:spacing w:val="-6"/>
          <w:w w:val="100"/>
          <w:kern w:val="0"/>
          <w:sz w:val="32"/>
          <w:szCs w:val="32"/>
          <w:lang w:bidi="ar"/>
        </w:rPr>
        <w:t>年用人单位职业卫生国家随机监督抽查计划表</w:t>
      </w:r>
    </w:p>
    <w:p w14:paraId="113B5572">
      <w:pPr>
        <w:keepNext w:val="0"/>
        <w:keepLines w:val="0"/>
        <w:pageBreakBefore w:val="0"/>
        <w:widowControl w:val="0"/>
        <w:kinsoku/>
        <w:wordWrap/>
        <w:overflowPunct/>
        <w:topLinePunct w:val="0"/>
        <w:autoSpaceDE/>
        <w:autoSpaceDN/>
        <w:bidi w:val="0"/>
        <w:adjustRightInd/>
        <w:snapToGrid/>
        <w:spacing w:line="560" w:lineRule="exact"/>
        <w:ind w:left="1856" w:leftChars="500" w:hanging="256" w:hangingChars="80"/>
        <w:jc w:val="both"/>
        <w:textAlignment w:val="auto"/>
        <w:outlineLvl w:val="0"/>
        <w:rPr>
          <w:rFonts w:hint="eastAsia" w:ascii="Times New Roman" w:hAnsi="Times New Roman" w:eastAsia="仿宋_GB2312" w:cs="Times New Roman"/>
          <w:color w:val="auto"/>
          <w:spacing w:val="0"/>
          <w:w w:val="100"/>
          <w:kern w:val="0"/>
          <w:sz w:val="32"/>
          <w:szCs w:val="32"/>
          <w:lang w:bidi="ar"/>
        </w:rPr>
      </w:pPr>
      <w:r>
        <w:rPr>
          <w:rFonts w:hint="default" w:ascii="Times New Roman" w:hAnsi="Times New Roman" w:eastAsia="仿宋_GB2312" w:cs="Times New Roman"/>
          <w:color w:val="auto"/>
          <w:spacing w:val="0"/>
          <w:w w:val="100"/>
          <w:kern w:val="0"/>
          <w:sz w:val="32"/>
          <w:szCs w:val="32"/>
          <w:lang w:bidi="ar"/>
        </w:rPr>
        <w:t>2</w:t>
      </w:r>
      <w:r>
        <w:rPr>
          <w:rFonts w:hint="eastAsia" w:ascii="Times New Roman" w:hAnsi="Times New Roman" w:eastAsia="仿宋_GB2312" w:cs="Times New Roman"/>
          <w:color w:val="auto"/>
          <w:spacing w:val="0"/>
          <w:w w:val="100"/>
          <w:kern w:val="0"/>
          <w:sz w:val="32"/>
          <w:szCs w:val="32"/>
          <w:lang w:bidi="ar"/>
        </w:rPr>
        <w:t>.</w:t>
      </w:r>
      <w:r>
        <w:rPr>
          <w:rFonts w:hint="default" w:ascii="Times New Roman" w:hAnsi="Times New Roman" w:eastAsia="仿宋_GB2312" w:cs="Times New Roman"/>
          <w:color w:val="auto"/>
          <w:spacing w:val="-6"/>
          <w:w w:val="100"/>
          <w:kern w:val="0"/>
          <w:sz w:val="32"/>
          <w:szCs w:val="32"/>
          <w:lang w:bidi="ar"/>
        </w:rPr>
        <w:t>2025</w:t>
      </w:r>
      <w:r>
        <w:rPr>
          <w:rFonts w:hint="eastAsia" w:ascii="Times New Roman" w:hAnsi="Times New Roman" w:eastAsia="仿宋_GB2312" w:cs="Times New Roman"/>
          <w:color w:val="auto"/>
          <w:spacing w:val="-6"/>
          <w:w w:val="100"/>
          <w:kern w:val="0"/>
          <w:sz w:val="32"/>
          <w:szCs w:val="32"/>
          <w:lang w:bidi="ar"/>
        </w:rPr>
        <w:t>年用人单位职业卫生国家随机监督抽查汇总表</w:t>
      </w:r>
    </w:p>
    <w:p w14:paraId="04152A27">
      <w:pPr>
        <w:keepNext w:val="0"/>
        <w:keepLines w:val="0"/>
        <w:pageBreakBefore w:val="0"/>
        <w:widowControl w:val="0"/>
        <w:kinsoku/>
        <w:wordWrap/>
        <w:overflowPunct/>
        <w:topLinePunct w:val="0"/>
        <w:autoSpaceDE/>
        <w:autoSpaceDN/>
        <w:bidi w:val="0"/>
        <w:adjustRightInd/>
        <w:snapToGrid/>
        <w:spacing w:line="560" w:lineRule="exact"/>
        <w:ind w:left="1856" w:leftChars="500" w:hanging="256" w:hangingChars="80"/>
        <w:jc w:val="both"/>
        <w:textAlignment w:val="auto"/>
        <w:outlineLvl w:val="0"/>
        <w:rPr>
          <w:rFonts w:hint="eastAsia" w:ascii="Times New Roman" w:hAnsi="Times New Roman" w:eastAsia="仿宋_GB2312" w:cs="Times New Roman"/>
          <w:color w:val="auto"/>
          <w:spacing w:val="0"/>
          <w:w w:val="100"/>
          <w:kern w:val="0"/>
          <w:sz w:val="32"/>
          <w:szCs w:val="32"/>
          <w:lang w:bidi="ar"/>
        </w:rPr>
      </w:pPr>
      <w:r>
        <w:rPr>
          <w:rFonts w:hint="default" w:ascii="Times New Roman" w:hAnsi="Times New Roman" w:eastAsia="仿宋_GB2312" w:cs="Times New Roman"/>
          <w:color w:val="auto"/>
          <w:spacing w:val="0"/>
          <w:w w:val="100"/>
          <w:kern w:val="0"/>
          <w:sz w:val="32"/>
          <w:szCs w:val="32"/>
          <w:lang w:bidi="ar"/>
        </w:rPr>
        <w:t>3</w:t>
      </w:r>
      <w:r>
        <w:rPr>
          <w:rFonts w:hint="eastAsia" w:ascii="Times New Roman" w:hAnsi="Times New Roman" w:eastAsia="仿宋_GB2312" w:cs="Times New Roman"/>
          <w:color w:val="auto"/>
          <w:spacing w:val="0"/>
          <w:w w:val="100"/>
          <w:kern w:val="0"/>
          <w:sz w:val="32"/>
          <w:szCs w:val="32"/>
          <w:lang w:bidi="ar"/>
        </w:rPr>
        <w:t>.</w:t>
      </w:r>
      <w:r>
        <w:rPr>
          <w:rFonts w:hint="default" w:ascii="Times New Roman" w:hAnsi="Times New Roman" w:eastAsia="仿宋_GB2312" w:cs="Times New Roman"/>
          <w:color w:val="auto"/>
          <w:spacing w:val="0"/>
          <w:w w:val="100"/>
          <w:kern w:val="0"/>
          <w:sz w:val="32"/>
          <w:szCs w:val="32"/>
          <w:lang w:bidi="ar"/>
        </w:rPr>
        <w:t>2025</w:t>
      </w:r>
      <w:r>
        <w:rPr>
          <w:rFonts w:hint="eastAsia" w:ascii="Times New Roman" w:hAnsi="Times New Roman" w:eastAsia="仿宋_GB2312" w:cs="Times New Roman"/>
          <w:color w:val="auto"/>
          <w:spacing w:val="0"/>
          <w:w w:val="100"/>
          <w:kern w:val="0"/>
          <w:sz w:val="32"/>
          <w:szCs w:val="32"/>
          <w:lang w:bidi="ar"/>
        </w:rPr>
        <w:t>年职业卫生和放射卫生技术服务机构国家随机监督抽查计划表</w:t>
      </w:r>
    </w:p>
    <w:p w14:paraId="016754A8">
      <w:pPr>
        <w:keepNext w:val="0"/>
        <w:keepLines w:val="0"/>
        <w:pageBreakBefore w:val="0"/>
        <w:widowControl w:val="0"/>
        <w:kinsoku/>
        <w:wordWrap/>
        <w:overflowPunct/>
        <w:topLinePunct w:val="0"/>
        <w:autoSpaceDE/>
        <w:autoSpaceDN/>
        <w:bidi w:val="0"/>
        <w:adjustRightInd/>
        <w:snapToGrid/>
        <w:spacing w:line="560" w:lineRule="exact"/>
        <w:ind w:left="1856" w:leftChars="500" w:hanging="256" w:hangingChars="80"/>
        <w:jc w:val="both"/>
        <w:textAlignment w:val="auto"/>
        <w:outlineLvl w:val="0"/>
        <w:rPr>
          <w:rFonts w:hint="eastAsia" w:ascii="Times New Roman" w:hAnsi="Times New Roman" w:eastAsia="仿宋_GB2312" w:cs="Times New Roman"/>
          <w:color w:val="auto"/>
          <w:spacing w:val="0"/>
          <w:w w:val="100"/>
          <w:kern w:val="0"/>
          <w:sz w:val="32"/>
          <w:szCs w:val="32"/>
          <w:lang w:bidi="ar"/>
        </w:rPr>
      </w:pPr>
      <w:r>
        <w:rPr>
          <w:rFonts w:hint="default" w:ascii="Times New Roman" w:hAnsi="Times New Roman" w:eastAsia="仿宋_GB2312" w:cs="Times New Roman"/>
          <w:color w:val="auto"/>
          <w:spacing w:val="0"/>
          <w:w w:val="100"/>
          <w:kern w:val="0"/>
          <w:sz w:val="32"/>
          <w:szCs w:val="32"/>
          <w:lang w:bidi="ar"/>
        </w:rPr>
        <w:t>4</w:t>
      </w:r>
      <w:r>
        <w:rPr>
          <w:rFonts w:hint="eastAsia" w:ascii="Times New Roman" w:hAnsi="Times New Roman" w:eastAsia="仿宋_GB2312" w:cs="Times New Roman"/>
          <w:color w:val="auto"/>
          <w:spacing w:val="0"/>
          <w:w w:val="100"/>
          <w:kern w:val="0"/>
          <w:sz w:val="32"/>
          <w:szCs w:val="32"/>
          <w:lang w:bidi="ar"/>
        </w:rPr>
        <w:t>.</w:t>
      </w:r>
      <w:r>
        <w:rPr>
          <w:rFonts w:hint="default" w:ascii="Times New Roman" w:hAnsi="Times New Roman" w:eastAsia="仿宋_GB2312" w:cs="Times New Roman"/>
          <w:color w:val="auto"/>
          <w:spacing w:val="0"/>
          <w:w w:val="100"/>
          <w:kern w:val="0"/>
          <w:sz w:val="32"/>
          <w:szCs w:val="32"/>
          <w:lang w:bidi="ar"/>
        </w:rPr>
        <w:t>2025</w:t>
      </w:r>
      <w:r>
        <w:rPr>
          <w:rFonts w:hint="eastAsia" w:ascii="Times New Roman" w:hAnsi="Times New Roman" w:eastAsia="仿宋_GB2312" w:cs="Times New Roman"/>
          <w:color w:val="auto"/>
          <w:spacing w:val="0"/>
          <w:w w:val="100"/>
          <w:kern w:val="0"/>
          <w:sz w:val="32"/>
          <w:szCs w:val="32"/>
          <w:lang w:bidi="ar"/>
        </w:rPr>
        <w:t>年职业卫生和放射卫生技术服务机构国家随机监督抽查汇总表</w:t>
      </w:r>
    </w:p>
    <w:p w14:paraId="4F7CE517">
      <w:pPr>
        <w:keepNext w:val="0"/>
        <w:keepLines w:val="0"/>
        <w:pageBreakBefore w:val="0"/>
        <w:widowControl w:val="0"/>
        <w:kinsoku/>
        <w:wordWrap/>
        <w:overflowPunct/>
        <w:topLinePunct w:val="0"/>
        <w:autoSpaceDE/>
        <w:autoSpaceDN/>
        <w:bidi w:val="0"/>
        <w:adjustRightInd/>
        <w:snapToGrid/>
        <w:spacing w:line="560" w:lineRule="exact"/>
        <w:ind w:left="1856" w:leftChars="500" w:hanging="256" w:hangingChars="80"/>
        <w:jc w:val="both"/>
        <w:textAlignment w:val="auto"/>
        <w:outlineLvl w:val="0"/>
        <w:rPr>
          <w:rFonts w:hint="eastAsia" w:ascii="Times New Roman" w:hAnsi="Times New Roman" w:eastAsia="仿宋_GB2312" w:cs="Times New Roman"/>
          <w:color w:val="auto"/>
          <w:spacing w:val="0"/>
          <w:w w:val="100"/>
          <w:kern w:val="0"/>
          <w:sz w:val="32"/>
          <w:szCs w:val="32"/>
          <w:lang w:bidi="ar"/>
        </w:rPr>
      </w:pPr>
      <w:r>
        <w:rPr>
          <w:rFonts w:hint="default" w:ascii="Times New Roman" w:hAnsi="Times New Roman" w:eastAsia="仿宋_GB2312" w:cs="Times New Roman"/>
          <w:color w:val="auto"/>
          <w:spacing w:val="0"/>
          <w:w w:val="100"/>
          <w:kern w:val="0"/>
          <w:sz w:val="32"/>
          <w:szCs w:val="32"/>
          <w:lang w:bidi="ar"/>
        </w:rPr>
        <w:t>5</w:t>
      </w:r>
      <w:r>
        <w:rPr>
          <w:rFonts w:hint="eastAsia" w:ascii="Times New Roman" w:hAnsi="Times New Roman" w:eastAsia="仿宋_GB2312" w:cs="Times New Roman"/>
          <w:color w:val="auto"/>
          <w:spacing w:val="0"/>
          <w:w w:val="100"/>
          <w:kern w:val="0"/>
          <w:sz w:val="32"/>
          <w:szCs w:val="32"/>
          <w:lang w:bidi="ar"/>
        </w:rPr>
        <w:t>.</w:t>
      </w:r>
      <w:r>
        <w:rPr>
          <w:rFonts w:hint="default" w:ascii="Times New Roman" w:hAnsi="Times New Roman" w:eastAsia="仿宋_GB2312" w:cs="Times New Roman"/>
          <w:color w:val="auto"/>
          <w:spacing w:val="0"/>
          <w:w w:val="100"/>
          <w:kern w:val="0"/>
          <w:sz w:val="32"/>
          <w:szCs w:val="32"/>
          <w:lang w:bidi="ar"/>
        </w:rPr>
        <w:t>2025</w:t>
      </w:r>
      <w:r>
        <w:rPr>
          <w:rFonts w:hint="eastAsia" w:ascii="Times New Roman" w:hAnsi="Times New Roman" w:eastAsia="仿宋_GB2312" w:cs="Times New Roman"/>
          <w:color w:val="auto"/>
          <w:spacing w:val="0"/>
          <w:w w:val="100"/>
          <w:kern w:val="0"/>
          <w:sz w:val="32"/>
          <w:szCs w:val="32"/>
          <w:lang w:bidi="ar"/>
        </w:rPr>
        <w:t>年放射诊疗、职业健康检查、职业病诊断机构国家随机监督抽查工作计划表</w:t>
      </w:r>
    </w:p>
    <w:p w14:paraId="680244B9">
      <w:pPr>
        <w:keepNext w:val="0"/>
        <w:keepLines w:val="0"/>
        <w:pageBreakBefore w:val="0"/>
        <w:widowControl w:val="0"/>
        <w:kinsoku/>
        <w:wordWrap/>
        <w:overflowPunct/>
        <w:topLinePunct w:val="0"/>
        <w:autoSpaceDE/>
        <w:autoSpaceDN/>
        <w:bidi w:val="0"/>
        <w:adjustRightInd/>
        <w:snapToGrid/>
        <w:spacing w:line="560" w:lineRule="exact"/>
        <w:ind w:left="1856" w:leftChars="500" w:hanging="256" w:hangingChars="80"/>
        <w:jc w:val="both"/>
        <w:textAlignment w:val="auto"/>
        <w:outlineLvl w:val="0"/>
        <w:rPr>
          <w:rFonts w:hint="eastAsia" w:ascii="Times New Roman" w:hAnsi="Times New Roman" w:eastAsia="仿宋_GB2312" w:cs="Times New Roman"/>
          <w:color w:val="auto"/>
          <w:spacing w:val="0"/>
          <w:w w:val="100"/>
          <w:kern w:val="0"/>
          <w:sz w:val="32"/>
          <w:szCs w:val="32"/>
          <w:lang w:bidi="ar"/>
        </w:rPr>
      </w:pPr>
      <w:r>
        <w:rPr>
          <w:rFonts w:hint="default" w:ascii="Times New Roman" w:hAnsi="Times New Roman" w:eastAsia="仿宋_GB2312" w:cs="Times New Roman"/>
          <w:color w:val="auto"/>
          <w:spacing w:val="0"/>
          <w:w w:val="100"/>
          <w:kern w:val="0"/>
          <w:sz w:val="32"/>
          <w:szCs w:val="32"/>
          <w:lang w:bidi="ar"/>
        </w:rPr>
        <w:t>6</w:t>
      </w:r>
      <w:r>
        <w:rPr>
          <w:rFonts w:hint="eastAsia" w:ascii="Times New Roman" w:hAnsi="Times New Roman" w:eastAsia="仿宋_GB2312" w:cs="Times New Roman"/>
          <w:color w:val="auto"/>
          <w:spacing w:val="0"/>
          <w:w w:val="100"/>
          <w:kern w:val="0"/>
          <w:sz w:val="32"/>
          <w:szCs w:val="32"/>
          <w:lang w:bidi="ar"/>
        </w:rPr>
        <w:t>.</w:t>
      </w:r>
      <w:r>
        <w:rPr>
          <w:rFonts w:hint="default" w:ascii="Times New Roman" w:hAnsi="Times New Roman" w:eastAsia="仿宋_GB2312" w:cs="Times New Roman"/>
          <w:color w:val="auto"/>
          <w:spacing w:val="0"/>
          <w:w w:val="100"/>
          <w:kern w:val="0"/>
          <w:sz w:val="32"/>
          <w:szCs w:val="32"/>
          <w:lang w:bidi="ar"/>
        </w:rPr>
        <w:t>2025</w:t>
      </w:r>
      <w:r>
        <w:rPr>
          <w:rFonts w:hint="eastAsia" w:ascii="Times New Roman" w:hAnsi="Times New Roman" w:eastAsia="仿宋_GB2312" w:cs="Times New Roman"/>
          <w:color w:val="auto"/>
          <w:spacing w:val="0"/>
          <w:w w:val="100"/>
          <w:kern w:val="0"/>
          <w:sz w:val="32"/>
          <w:szCs w:val="32"/>
          <w:lang w:bidi="ar"/>
        </w:rPr>
        <w:t>年放射诊疗机构国家随机监督抽查汇总表</w:t>
      </w:r>
    </w:p>
    <w:p w14:paraId="3A3B8855">
      <w:pPr>
        <w:keepNext w:val="0"/>
        <w:keepLines w:val="0"/>
        <w:pageBreakBefore w:val="0"/>
        <w:widowControl w:val="0"/>
        <w:kinsoku/>
        <w:wordWrap/>
        <w:overflowPunct/>
        <w:topLinePunct w:val="0"/>
        <w:autoSpaceDE/>
        <w:autoSpaceDN/>
        <w:bidi w:val="0"/>
        <w:adjustRightInd/>
        <w:snapToGrid/>
        <w:spacing w:line="560" w:lineRule="exact"/>
        <w:ind w:left="1856" w:leftChars="500" w:hanging="256" w:hangingChars="80"/>
        <w:jc w:val="both"/>
        <w:textAlignment w:val="auto"/>
        <w:outlineLvl w:val="0"/>
        <w:rPr>
          <w:rFonts w:hint="eastAsia" w:ascii="Times New Roman" w:hAnsi="Times New Roman" w:eastAsia="仿宋_GB2312" w:cs="Times New Roman"/>
          <w:color w:val="auto"/>
          <w:spacing w:val="0"/>
          <w:w w:val="100"/>
          <w:kern w:val="0"/>
          <w:sz w:val="32"/>
          <w:szCs w:val="32"/>
          <w:lang w:bidi="ar"/>
        </w:rPr>
      </w:pPr>
      <w:r>
        <w:rPr>
          <w:rFonts w:hint="default" w:ascii="Times New Roman" w:hAnsi="Times New Roman" w:eastAsia="仿宋_GB2312" w:cs="Times New Roman"/>
          <w:color w:val="auto"/>
          <w:spacing w:val="0"/>
          <w:w w:val="100"/>
          <w:kern w:val="0"/>
          <w:sz w:val="32"/>
          <w:szCs w:val="32"/>
          <w:lang w:bidi="ar"/>
        </w:rPr>
        <w:t>7</w:t>
      </w:r>
      <w:r>
        <w:rPr>
          <w:rFonts w:hint="eastAsia" w:ascii="Times New Roman" w:hAnsi="Times New Roman" w:eastAsia="仿宋_GB2312" w:cs="Times New Roman"/>
          <w:color w:val="auto"/>
          <w:spacing w:val="0"/>
          <w:w w:val="100"/>
          <w:kern w:val="0"/>
          <w:sz w:val="32"/>
          <w:szCs w:val="32"/>
          <w:lang w:bidi="ar"/>
        </w:rPr>
        <w:t>.</w:t>
      </w:r>
      <w:r>
        <w:rPr>
          <w:rFonts w:hint="default" w:ascii="Times New Roman" w:hAnsi="Times New Roman" w:eastAsia="仿宋_GB2312" w:cs="Times New Roman"/>
          <w:color w:val="auto"/>
          <w:spacing w:val="0"/>
          <w:w w:val="100"/>
          <w:kern w:val="0"/>
          <w:sz w:val="32"/>
          <w:szCs w:val="32"/>
          <w:lang w:bidi="ar"/>
        </w:rPr>
        <w:t>2025</w:t>
      </w:r>
      <w:r>
        <w:rPr>
          <w:rFonts w:hint="eastAsia" w:ascii="Times New Roman" w:hAnsi="Times New Roman" w:eastAsia="仿宋_GB2312" w:cs="Times New Roman"/>
          <w:color w:val="auto"/>
          <w:spacing w:val="0"/>
          <w:w w:val="100"/>
          <w:kern w:val="0"/>
          <w:sz w:val="32"/>
          <w:szCs w:val="32"/>
          <w:lang w:bidi="ar"/>
        </w:rPr>
        <w:t>年职业健康检查机构、职业病诊断机构国家随机监督抽查汇总表</w:t>
      </w:r>
    </w:p>
    <w:p w14:paraId="6A8A8712">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0"/>
        <w:rPr>
          <w:rFonts w:hint="eastAsia" w:ascii="仿宋_GB2312" w:hAnsi="仿宋_GB2312" w:eastAsia="仿宋_GB2312" w:cs="仿宋_GB2312"/>
          <w:color w:val="auto"/>
          <w:w w:val="98"/>
          <w:kern w:val="0"/>
          <w:sz w:val="32"/>
          <w:szCs w:val="32"/>
          <w:lang w:val="en-US" w:eastAsia="zh-CN" w:bidi="ar"/>
        </w:rPr>
      </w:pPr>
    </w:p>
    <w:p w14:paraId="660BB972">
      <w:pPr>
        <w:keepNext w:val="0"/>
        <w:keepLines w:val="0"/>
        <w:pageBreakBefore w:val="0"/>
        <w:widowControl w:val="0"/>
        <w:topLinePunct w:val="0"/>
        <w:bidi w:val="0"/>
        <w:adjustRightInd/>
        <w:snapToGrid/>
        <w:rPr>
          <w:rFonts w:hint="eastAsia" w:ascii="仿宋_GB2312" w:hAnsi="仿宋_GB2312" w:eastAsia="仿宋_GB2312" w:cs="仿宋_GB2312"/>
          <w:color w:val="auto"/>
          <w:w w:val="98"/>
          <w:kern w:val="0"/>
          <w:sz w:val="32"/>
          <w:szCs w:val="32"/>
          <w:lang w:val="en-US" w:eastAsia="zh-CN" w:bidi="ar"/>
        </w:rPr>
        <w:sectPr>
          <w:headerReference r:id="rId3" w:type="default"/>
          <w:footerReference r:id="rId4" w:type="default"/>
          <w:pgSz w:w="11905" w:h="16838"/>
          <w:pgMar w:top="1701" w:right="1417" w:bottom="1417" w:left="1701" w:header="851" w:footer="992" w:gutter="0"/>
          <w:lnNumType w:countBy="0" w:distance="360"/>
          <w:pgNumType w:fmt="decimal"/>
          <w:cols w:space="720" w:num="1"/>
          <w:rtlGutter w:val="0"/>
          <w:docGrid w:type="lines" w:linePitch="436" w:charSpace="0"/>
        </w:sectPr>
      </w:pPr>
    </w:p>
    <w:p w14:paraId="2F251E1F">
      <w:pPr>
        <w:keepNext w:val="0"/>
        <w:keepLines w:val="0"/>
        <w:pageBreakBefore w:val="0"/>
        <w:widowControl w:val="0"/>
        <w:topLinePunct w:val="0"/>
        <w:bidi w:val="0"/>
        <w:adjustRightInd/>
        <w:snapToGrid/>
        <w:spacing w:beforeLines="0" w:afterLines="0"/>
        <w:jc w:val="left"/>
        <w:outlineLvl w:val="0"/>
        <w:rPr>
          <w:rFonts w:hint="eastAsia" w:ascii="黑体" w:hAnsi="黑体" w:eastAsia="黑体" w:cs="黑体"/>
          <w:color w:val="auto"/>
          <w:w w:val="98"/>
          <w:kern w:val="0"/>
          <w:sz w:val="32"/>
          <w:szCs w:val="32"/>
          <w:lang w:bidi="ar"/>
        </w:rPr>
      </w:pPr>
      <w:r>
        <w:rPr>
          <w:rFonts w:hint="eastAsia" w:ascii="黑体" w:hAnsi="黑体" w:eastAsia="黑体" w:cs="黑体"/>
          <w:color w:val="auto"/>
          <w:kern w:val="0"/>
          <w:sz w:val="32"/>
          <w:szCs w:val="32"/>
          <w:lang w:bidi="ar"/>
        </w:rPr>
        <w:t>附表</w:t>
      </w:r>
      <w:r>
        <w:rPr>
          <w:rFonts w:hint="default" w:ascii="Times New Roman" w:hAnsi="Times New Roman" w:eastAsia="黑体" w:cs="Times New Roman"/>
          <w:color w:val="auto"/>
          <w:w w:val="98"/>
          <w:kern w:val="0"/>
          <w:sz w:val="32"/>
          <w:szCs w:val="32"/>
          <w:lang w:bidi="ar"/>
        </w:rPr>
        <w:t>1</w:t>
      </w:r>
    </w:p>
    <w:p w14:paraId="0D7028C5">
      <w:pPr>
        <w:keepNext w:val="0"/>
        <w:keepLines w:val="0"/>
        <w:pageBreakBefore w:val="0"/>
        <w:widowControl w:val="0"/>
        <w:topLinePunct w:val="0"/>
        <w:bidi w:val="0"/>
        <w:adjustRightInd/>
        <w:snapToGrid/>
        <w:spacing w:before="205" w:line="222" w:lineRule="auto"/>
        <w:ind w:left="2183"/>
        <w:outlineLvl w:val="0"/>
        <w:rPr>
          <w:rFonts w:hint="eastAsia" w:ascii="方正小标宋简体" w:hAnsi="方正小标宋简体" w:eastAsia="方正小标宋简体" w:cs="方正小标宋简体"/>
          <w:b w:val="0"/>
          <w:bCs w:val="0"/>
          <w:color w:val="auto"/>
          <w:sz w:val="44"/>
          <w:szCs w:val="44"/>
        </w:rPr>
      </w:pPr>
      <w:r>
        <w:rPr>
          <w:rFonts w:hint="default" w:ascii="Times New Roman" w:hAnsi="Times New Roman" w:eastAsia="方正小标宋简体" w:cs="Times New Roman"/>
          <w:b w:val="0"/>
          <w:bCs w:val="0"/>
          <w:color w:val="auto"/>
          <w:spacing w:val="5"/>
          <w:sz w:val="44"/>
          <w:szCs w:val="44"/>
        </w:rPr>
        <w:t>2025</w:t>
      </w:r>
      <w:r>
        <w:rPr>
          <w:rFonts w:hint="eastAsia" w:ascii="方正小标宋简体" w:hAnsi="方正小标宋简体" w:eastAsia="方正小标宋简体" w:cs="方正小标宋简体"/>
          <w:b w:val="0"/>
          <w:bCs w:val="0"/>
          <w:color w:val="auto"/>
          <w:spacing w:val="5"/>
          <w:sz w:val="44"/>
          <w:szCs w:val="44"/>
        </w:rPr>
        <w:t>年用人单位职业卫生国家随机监督抽</w:t>
      </w:r>
      <w:r>
        <w:rPr>
          <w:rFonts w:hint="eastAsia" w:ascii="方正小标宋简体" w:hAnsi="方正小标宋简体" w:eastAsia="方正小标宋简体" w:cs="方正小标宋简体"/>
          <w:b w:val="0"/>
          <w:bCs w:val="0"/>
          <w:color w:val="auto"/>
          <w:spacing w:val="4"/>
          <w:sz w:val="44"/>
          <w:szCs w:val="44"/>
        </w:rPr>
        <w:t>查计划表</w:t>
      </w:r>
    </w:p>
    <w:p w14:paraId="40132279">
      <w:pPr>
        <w:keepNext w:val="0"/>
        <w:keepLines w:val="0"/>
        <w:pageBreakBefore w:val="0"/>
        <w:widowControl w:val="0"/>
        <w:topLinePunct w:val="0"/>
        <w:bidi w:val="0"/>
        <w:adjustRightInd/>
        <w:snapToGrid/>
        <w:spacing w:line="188" w:lineRule="exact"/>
        <w:rPr>
          <w:color w:val="auto"/>
        </w:rPr>
      </w:pPr>
    </w:p>
    <w:tbl>
      <w:tblPr>
        <w:tblStyle w:val="13"/>
        <w:tblW w:w="144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23" w:type="dxa"/>
          <w:left w:w="0" w:type="dxa"/>
          <w:bottom w:w="23" w:type="dxa"/>
          <w:right w:w="0" w:type="dxa"/>
        </w:tblCellMar>
      </w:tblPr>
      <w:tblGrid>
        <w:gridCol w:w="1738"/>
        <w:gridCol w:w="1511"/>
        <w:gridCol w:w="2801"/>
        <w:gridCol w:w="8365"/>
      </w:tblGrid>
      <w:tr w14:paraId="161B1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0" w:type="dxa"/>
            <w:bottom w:w="23" w:type="dxa"/>
            <w:right w:w="0" w:type="dxa"/>
          </w:tblCellMar>
        </w:tblPrEx>
        <w:trPr>
          <w:trHeight w:val="460" w:hRule="atLeast"/>
          <w:jc w:val="center"/>
        </w:trPr>
        <w:tc>
          <w:tcPr>
            <w:tcW w:w="1738" w:type="dxa"/>
            <w:noWrap w:val="0"/>
            <w:vAlign w:val="center"/>
          </w:tcPr>
          <w:p w14:paraId="68BDACE1">
            <w:pPr>
              <w:pStyle w:val="12"/>
              <w:keepNext w:val="0"/>
              <w:keepLines w:val="0"/>
              <w:pageBreakBefore w:val="0"/>
              <w:widowControl w:val="0"/>
              <w:kinsoku/>
              <w:wordWrap/>
              <w:overflowPunct/>
              <w:topLinePunct w:val="0"/>
              <w:autoSpaceDE/>
              <w:autoSpaceDN/>
              <w:bidi w:val="0"/>
              <w:adjustRightInd/>
              <w:snapToGrid/>
              <w:spacing w:line="223" w:lineRule="auto"/>
              <w:ind w:left="96" w:leftChars="30" w:right="96" w:rightChars="30"/>
              <w:jc w:val="center"/>
              <w:textAlignment w:val="auto"/>
              <w:rPr>
                <w:rFonts w:hint="eastAsia" w:ascii="黑体" w:hAnsi="黑体" w:eastAsia="黑体" w:cs="黑体"/>
                <w:color w:val="auto"/>
                <w:spacing w:val="0"/>
                <w:sz w:val="21"/>
                <w:szCs w:val="21"/>
              </w:rPr>
            </w:pPr>
            <w:r>
              <w:rPr>
                <w:rFonts w:hint="eastAsia" w:ascii="黑体" w:hAnsi="黑体" w:eastAsia="黑体" w:cs="黑体"/>
                <w:color w:val="auto"/>
                <w:spacing w:val="0"/>
                <w:sz w:val="21"/>
                <w:szCs w:val="21"/>
              </w:rPr>
              <w:t>监督检查对象</w:t>
            </w:r>
          </w:p>
        </w:tc>
        <w:tc>
          <w:tcPr>
            <w:tcW w:w="1511" w:type="dxa"/>
            <w:noWrap w:val="0"/>
            <w:vAlign w:val="center"/>
          </w:tcPr>
          <w:p w14:paraId="2365AADC">
            <w:pPr>
              <w:pStyle w:val="12"/>
              <w:keepNext w:val="0"/>
              <w:keepLines w:val="0"/>
              <w:pageBreakBefore w:val="0"/>
              <w:widowControl w:val="0"/>
              <w:kinsoku/>
              <w:wordWrap/>
              <w:overflowPunct/>
              <w:topLinePunct w:val="0"/>
              <w:autoSpaceDE/>
              <w:autoSpaceDN/>
              <w:bidi w:val="0"/>
              <w:adjustRightInd/>
              <w:snapToGrid/>
              <w:spacing w:line="226" w:lineRule="auto"/>
              <w:ind w:left="96" w:leftChars="30" w:right="96" w:rightChars="30"/>
              <w:jc w:val="center"/>
              <w:textAlignment w:val="auto"/>
              <w:rPr>
                <w:rFonts w:hint="eastAsia" w:ascii="黑体" w:hAnsi="黑体" w:eastAsia="黑体" w:cs="黑体"/>
                <w:color w:val="auto"/>
                <w:spacing w:val="0"/>
                <w:sz w:val="21"/>
                <w:szCs w:val="21"/>
              </w:rPr>
            </w:pPr>
            <w:r>
              <w:rPr>
                <w:rFonts w:hint="eastAsia" w:ascii="黑体" w:hAnsi="黑体" w:eastAsia="黑体" w:cs="黑体"/>
                <w:color w:val="auto"/>
                <w:spacing w:val="0"/>
                <w:sz w:val="21"/>
                <w:szCs w:val="21"/>
              </w:rPr>
              <w:t>抽查任务</w:t>
            </w:r>
          </w:p>
        </w:tc>
        <w:tc>
          <w:tcPr>
            <w:tcW w:w="11166" w:type="dxa"/>
            <w:gridSpan w:val="2"/>
            <w:noWrap w:val="0"/>
            <w:vAlign w:val="center"/>
          </w:tcPr>
          <w:p w14:paraId="2CA171C3">
            <w:pPr>
              <w:pStyle w:val="12"/>
              <w:keepNext w:val="0"/>
              <w:keepLines w:val="0"/>
              <w:pageBreakBefore w:val="0"/>
              <w:widowControl w:val="0"/>
              <w:kinsoku/>
              <w:wordWrap/>
              <w:overflowPunct/>
              <w:topLinePunct w:val="0"/>
              <w:autoSpaceDE/>
              <w:autoSpaceDN/>
              <w:bidi w:val="0"/>
              <w:adjustRightInd/>
              <w:snapToGrid/>
              <w:spacing w:line="223" w:lineRule="auto"/>
              <w:ind w:left="96" w:leftChars="30" w:right="96" w:rightChars="30"/>
              <w:jc w:val="center"/>
              <w:textAlignment w:val="auto"/>
              <w:rPr>
                <w:rFonts w:hint="eastAsia" w:ascii="黑体" w:hAnsi="黑体" w:eastAsia="黑体" w:cs="黑体"/>
                <w:color w:val="auto"/>
                <w:spacing w:val="0"/>
                <w:sz w:val="21"/>
                <w:szCs w:val="21"/>
              </w:rPr>
            </w:pPr>
            <w:r>
              <w:rPr>
                <w:rFonts w:hint="eastAsia" w:ascii="黑体" w:hAnsi="黑体" w:eastAsia="黑体" w:cs="黑体"/>
                <w:color w:val="auto"/>
                <w:spacing w:val="0"/>
                <w:sz w:val="21"/>
                <w:szCs w:val="21"/>
              </w:rPr>
              <w:t>重点检查内容</w:t>
            </w:r>
          </w:p>
        </w:tc>
      </w:tr>
      <w:tr w14:paraId="6AEF3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0" w:type="dxa"/>
            <w:bottom w:w="23" w:type="dxa"/>
            <w:right w:w="0" w:type="dxa"/>
          </w:tblCellMar>
        </w:tblPrEx>
        <w:trPr>
          <w:trHeight w:val="656" w:hRule="atLeast"/>
          <w:jc w:val="center"/>
        </w:trPr>
        <w:tc>
          <w:tcPr>
            <w:tcW w:w="1738" w:type="dxa"/>
            <w:vMerge w:val="restart"/>
            <w:tcBorders>
              <w:bottom w:val="nil"/>
            </w:tcBorders>
            <w:noWrap w:val="0"/>
            <w:vAlign w:val="center"/>
          </w:tcPr>
          <w:p w14:paraId="6B2A61FF">
            <w:pPr>
              <w:pStyle w:val="12"/>
              <w:keepNext w:val="0"/>
              <w:keepLines w:val="0"/>
              <w:pageBreakBefore w:val="0"/>
              <w:widowControl w:val="0"/>
              <w:kinsoku/>
              <w:wordWrap/>
              <w:overflowPunct/>
              <w:topLinePunct w:val="0"/>
              <w:autoSpaceDE/>
              <w:autoSpaceDN/>
              <w:bidi w:val="0"/>
              <w:adjustRightInd/>
              <w:snapToGrid/>
              <w:spacing w:line="224" w:lineRule="auto"/>
              <w:ind w:left="96" w:leftChars="30" w:right="96" w:rightChars="30"/>
              <w:jc w:val="center"/>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用人单位</w:t>
            </w:r>
          </w:p>
        </w:tc>
        <w:tc>
          <w:tcPr>
            <w:tcW w:w="1511" w:type="dxa"/>
            <w:vMerge w:val="restart"/>
            <w:tcBorders>
              <w:bottom w:val="nil"/>
            </w:tcBorders>
            <w:noWrap w:val="0"/>
            <w:vAlign w:val="center"/>
          </w:tcPr>
          <w:p w14:paraId="2AE6566F">
            <w:pPr>
              <w:pStyle w:val="12"/>
              <w:keepNext w:val="0"/>
              <w:keepLines w:val="0"/>
              <w:pageBreakBefore w:val="0"/>
              <w:widowControl w:val="0"/>
              <w:kinsoku/>
              <w:wordWrap/>
              <w:overflowPunct/>
              <w:topLinePunct w:val="0"/>
              <w:autoSpaceDE/>
              <w:autoSpaceDN/>
              <w:bidi w:val="0"/>
              <w:adjustRightInd/>
              <w:snapToGrid/>
              <w:spacing w:line="243" w:lineRule="auto"/>
              <w:ind w:left="96" w:leftChars="30" w:right="96" w:rightChars="30"/>
              <w:jc w:val="center"/>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抽查</w:t>
            </w:r>
            <w:r>
              <w:rPr>
                <w:rFonts w:hint="default" w:ascii="Times New Roman" w:hAnsi="Times New Roman" w:eastAsia="仿宋_GB2312" w:cs="Times New Roman"/>
                <w:color w:val="auto"/>
                <w:spacing w:val="0"/>
                <w:sz w:val="21"/>
                <w:szCs w:val="21"/>
              </w:rPr>
              <w:t>34</w:t>
            </w:r>
            <w:r>
              <w:rPr>
                <w:rFonts w:hint="default" w:ascii="Times New Roman" w:hAnsi="Times New Roman" w:eastAsia="仿宋_GB2312" w:cs="Times New Roman"/>
                <w:color w:val="auto"/>
                <w:spacing w:val="0"/>
                <w:sz w:val="21"/>
                <w:szCs w:val="21"/>
                <w:lang w:val="en-US" w:eastAsia="zh-CN"/>
              </w:rPr>
              <w:t>5</w:t>
            </w:r>
            <w:r>
              <w:rPr>
                <w:rFonts w:hint="default" w:ascii="Times New Roman" w:hAnsi="Times New Roman" w:eastAsia="仿宋_GB2312" w:cs="Times New Roman"/>
                <w:color w:val="auto"/>
                <w:spacing w:val="0"/>
                <w:sz w:val="21"/>
                <w:szCs w:val="21"/>
              </w:rPr>
              <w:t>0</w:t>
            </w:r>
            <w:r>
              <w:rPr>
                <w:rFonts w:hint="eastAsia" w:ascii="仿宋_GB2312" w:hAnsi="仿宋_GB2312" w:eastAsia="仿宋_GB2312" w:cs="仿宋_GB2312"/>
                <w:color w:val="auto"/>
                <w:spacing w:val="0"/>
                <w:sz w:val="21"/>
                <w:szCs w:val="21"/>
              </w:rPr>
              <w:t>家</w:t>
            </w:r>
          </w:p>
        </w:tc>
        <w:tc>
          <w:tcPr>
            <w:tcW w:w="2801" w:type="dxa"/>
            <w:noWrap w:val="0"/>
            <w:vAlign w:val="center"/>
          </w:tcPr>
          <w:p w14:paraId="343BA28C">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1</w:t>
            </w:r>
            <w:r>
              <w:rPr>
                <w:rFonts w:hint="eastAsia" w:ascii="仿宋_GB2312" w:hAnsi="仿宋_GB2312" w:eastAsia="仿宋_GB2312" w:cs="仿宋_GB2312"/>
                <w:color w:val="auto"/>
                <w:spacing w:val="0"/>
                <w:sz w:val="21"/>
                <w:szCs w:val="21"/>
              </w:rPr>
              <w:t>.职业卫生培训</w:t>
            </w:r>
          </w:p>
        </w:tc>
        <w:tc>
          <w:tcPr>
            <w:tcW w:w="8365" w:type="dxa"/>
            <w:noWrap w:val="0"/>
            <w:vAlign w:val="center"/>
          </w:tcPr>
          <w:p w14:paraId="2B6A499F">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主要负责人、职业卫生管理人员和劳动者是否按规定的周期接受职业卫生培训，培训内容、时间是否符合要求。</w:t>
            </w:r>
          </w:p>
        </w:tc>
      </w:tr>
      <w:tr w14:paraId="654D4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0" w:type="dxa"/>
            <w:bottom w:w="23" w:type="dxa"/>
            <w:right w:w="0" w:type="dxa"/>
          </w:tblCellMar>
        </w:tblPrEx>
        <w:trPr>
          <w:trHeight w:val="549" w:hRule="atLeast"/>
          <w:jc w:val="center"/>
        </w:trPr>
        <w:tc>
          <w:tcPr>
            <w:tcW w:w="1738" w:type="dxa"/>
            <w:vMerge w:val="continue"/>
            <w:tcBorders>
              <w:top w:val="nil"/>
              <w:bottom w:val="nil"/>
            </w:tcBorders>
            <w:noWrap w:val="0"/>
            <w:vAlign w:val="center"/>
          </w:tcPr>
          <w:p w14:paraId="7D4FBEAE">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1511" w:type="dxa"/>
            <w:vMerge w:val="continue"/>
            <w:tcBorders>
              <w:top w:val="nil"/>
              <w:bottom w:val="nil"/>
            </w:tcBorders>
            <w:noWrap w:val="0"/>
            <w:vAlign w:val="center"/>
          </w:tcPr>
          <w:p w14:paraId="29B1743F">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2801" w:type="dxa"/>
            <w:noWrap w:val="0"/>
            <w:vAlign w:val="center"/>
          </w:tcPr>
          <w:p w14:paraId="1261E595">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2</w:t>
            </w:r>
            <w:r>
              <w:rPr>
                <w:rFonts w:hint="eastAsia" w:ascii="仿宋_GB2312" w:hAnsi="仿宋_GB2312" w:eastAsia="仿宋_GB2312" w:cs="仿宋_GB2312"/>
                <w:color w:val="auto"/>
                <w:spacing w:val="0"/>
                <w:sz w:val="21"/>
                <w:szCs w:val="21"/>
              </w:rPr>
              <w:t>.建设项目职业病防护设施“三同时”</w:t>
            </w:r>
          </w:p>
        </w:tc>
        <w:tc>
          <w:tcPr>
            <w:tcW w:w="8365" w:type="dxa"/>
            <w:noWrap w:val="0"/>
            <w:vAlign w:val="center"/>
          </w:tcPr>
          <w:p w14:paraId="2FBF99D5">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是否落实建设项目职业病防护设施“三同时”制度，是否按程序开展评审及存档、公示。</w:t>
            </w:r>
          </w:p>
        </w:tc>
      </w:tr>
      <w:tr w14:paraId="447B9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0" w:type="dxa"/>
            <w:bottom w:w="23" w:type="dxa"/>
            <w:right w:w="0" w:type="dxa"/>
          </w:tblCellMar>
        </w:tblPrEx>
        <w:trPr>
          <w:trHeight w:val="549" w:hRule="atLeast"/>
          <w:jc w:val="center"/>
        </w:trPr>
        <w:tc>
          <w:tcPr>
            <w:tcW w:w="1738" w:type="dxa"/>
            <w:vMerge w:val="continue"/>
            <w:tcBorders>
              <w:top w:val="nil"/>
              <w:bottom w:val="nil"/>
            </w:tcBorders>
            <w:noWrap w:val="0"/>
            <w:vAlign w:val="center"/>
          </w:tcPr>
          <w:p w14:paraId="3BEBB1C0">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1511" w:type="dxa"/>
            <w:vMerge w:val="continue"/>
            <w:tcBorders>
              <w:top w:val="nil"/>
              <w:bottom w:val="nil"/>
            </w:tcBorders>
            <w:noWrap w:val="0"/>
            <w:vAlign w:val="center"/>
          </w:tcPr>
          <w:p w14:paraId="61911497">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2801" w:type="dxa"/>
            <w:noWrap w:val="0"/>
            <w:vAlign w:val="center"/>
          </w:tcPr>
          <w:p w14:paraId="3E1762C7">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w:t>
            </w:r>
            <w:r>
              <w:rPr>
                <w:rFonts w:hint="default" w:ascii="Times New Roman" w:hAnsi="Times New Roman" w:eastAsia="仿宋_GB2312" w:cs="Times New Roman"/>
                <w:color w:val="auto"/>
                <w:spacing w:val="0"/>
                <w:sz w:val="21"/>
                <w:szCs w:val="21"/>
              </w:rPr>
              <w:t>3</w:t>
            </w:r>
            <w:r>
              <w:rPr>
                <w:rFonts w:hint="eastAsia" w:ascii="仿宋_GB2312" w:hAnsi="仿宋_GB2312" w:eastAsia="仿宋_GB2312" w:cs="仿宋_GB2312"/>
                <w:color w:val="auto"/>
                <w:spacing w:val="0"/>
                <w:sz w:val="21"/>
                <w:szCs w:val="21"/>
              </w:rPr>
              <w:t>.职业病危害项目申报</w:t>
            </w:r>
          </w:p>
        </w:tc>
        <w:tc>
          <w:tcPr>
            <w:tcW w:w="8365" w:type="dxa"/>
            <w:noWrap w:val="0"/>
            <w:vAlign w:val="center"/>
          </w:tcPr>
          <w:p w14:paraId="5B17D18D">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是否如实、及时开展工作场所职业病危害项目申报。</w:t>
            </w:r>
          </w:p>
        </w:tc>
      </w:tr>
      <w:tr w14:paraId="42194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0" w:type="dxa"/>
            <w:bottom w:w="23" w:type="dxa"/>
            <w:right w:w="0" w:type="dxa"/>
          </w:tblCellMar>
        </w:tblPrEx>
        <w:trPr>
          <w:trHeight w:val="1094" w:hRule="atLeast"/>
          <w:jc w:val="center"/>
        </w:trPr>
        <w:tc>
          <w:tcPr>
            <w:tcW w:w="1738" w:type="dxa"/>
            <w:vMerge w:val="continue"/>
            <w:tcBorders>
              <w:top w:val="nil"/>
              <w:bottom w:val="nil"/>
            </w:tcBorders>
            <w:noWrap w:val="0"/>
            <w:vAlign w:val="center"/>
          </w:tcPr>
          <w:p w14:paraId="4343B680">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1511" w:type="dxa"/>
            <w:vMerge w:val="continue"/>
            <w:tcBorders>
              <w:top w:val="nil"/>
              <w:bottom w:val="nil"/>
            </w:tcBorders>
            <w:noWrap w:val="0"/>
            <w:vAlign w:val="center"/>
          </w:tcPr>
          <w:p w14:paraId="1CF6FA34">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2801" w:type="dxa"/>
            <w:noWrap w:val="0"/>
            <w:vAlign w:val="center"/>
          </w:tcPr>
          <w:p w14:paraId="0A64C890">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4</w:t>
            </w:r>
            <w:r>
              <w:rPr>
                <w:rFonts w:hint="eastAsia" w:ascii="仿宋_GB2312" w:hAnsi="仿宋_GB2312" w:eastAsia="仿宋_GB2312" w:cs="仿宋_GB2312"/>
                <w:color w:val="auto"/>
                <w:spacing w:val="0"/>
                <w:sz w:val="21"/>
                <w:szCs w:val="21"/>
              </w:rPr>
              <w:t>.工作场所职业卫生管理</w:t>
            </w:r>
          </w:p>
        </w:tc>
        <w:tc>
          <w:tcPr>
            <w:tcW w:w="8365" w:type="dxa"/>
            <w:noWrap w:val="0"/>
            <w:vAlign w:val="center"/>
          </w:tcPr>
          <w:p w14:paraId="48E4B4E2">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1</w:t>
            </w:r>
            <w:r>
              <w:rPr>
                <w:rFonts w:hint="eastAsia" w:ascii="仿宋_GB2312" w:hAnsi="仿宋_GB2312" w:eastAsia="仿宋_GB2312" w:cs="仿宋_GB2312"/>
                <w:color w:val="auto"/>
                <w:spacing w:val="0"/>
                <w:sz w:val="21"/>
                <w:szCs w:val="21"/>
              </w:rPr>
              <w:t>.是否按规定开展工作场所职业病危害因素监测、检测、评价，是否进行检测结果的报告、存档和公布；</w:t>
            </w:r>
          </w:p>
          <w:p w14:paraId="43C2A81A">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2</w:t>
            </w:r>
            <w:r>
              <w:rPr>
                <w:rFonts w:hint="eastAsia" w:ascii="仿宋_GB2312" w:hAnsi="仿宋_GB2312" w:eastAsia="仿宋_GB2312" w:cs="仿宋_GB2312"/>
                <w:color w:val="auto"/>
                <w:spacing w:val="0"/>
                <w:sz w:val="21"/>
                <w:szCs w:val="21"/>
              </w:rPr>
              <w:t>.是否按规定配置职业病防护设施、应急救援设施并及时维护、保养，是否按规定发放、管理职业病防护用品并督促劳动者佩戴使用。</w:t>
            </w:r>
          </w:p>
        </w:tc>
      </w:tr>
      <w:tr w14:paraId="4EA71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0" w:type="dxa"/>
            <w:bottom w:w="23" w:type="dxa"/>
            <w:right w:w="0" w:type="dxa"/>
          </w:tblCellMar>
        </w:tblPrEx>
        <w:trPr>
          <w:trHeight w:val="549" w:hRule="atLeast"/>
          <w:jc w:val="center"/>
        </w:trPr>
        <w:tc>
          <w:tcPr>
            <w:tcW w:w="1738" w:type="dxa"/>
            <w:vMerge w:val="continue"/>
            <w:tcBorders>
              <w:top w:val="nil"/>
              <w:bottom w:val="nil"/>
            </w:tcBorders>
            <w:noWrap w:val="0"/>
            <w:vAlign w:val="center"/>
          </w:tcPr>
          <w:p w14:paraId="7A79BC64">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1511" w:type="dxa"/>
            <w:vMerge w:val="continue"/>
            <w:tcBorders>
              <w:top w:val="nil"/>
              <w:bottom w:val="nil"/>
            </w:tcBorders>
            <w:noWrap w:val="0"/>
            <w:vAlign w:val="center"/>
          </w:tcPr>
          <w:p w14:paraId="382D0A31">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2801" w:type="dxa"/>
            <w:noWrap w:val="0"/>
            <w:vAlign w:val="center"/>
          </w:tcPr>
          <w:p w14:paraId="5C74FC79">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5</w:t>
            </w:r>
            <w:r>
              <w:rPr>
                <w:rFonts w:hint="eastAsia" w:ascii="仿宋_GB2312" w:hAnsi="仿宋_GB2312" w:eastAsia="仿宋_GB2312" w:cs="仿宋_GB2312"/>
                <w:color w:val="auto"/>
                <w:spacing w:val="0"/>
                <w:sz w:val="21"/>
                <w:szCs w:val="21"/>
              </w:rPr>
              <w:t>.职业病危害警示和告知</w:t>
            </w:r>
          </w:p>
        </w:tc>
        <w:tc>
          <w:tcPr>
            <w:tcW w:w="8365" w:type="dxa"/>
            <w:noWrap w:val="0"/>
            <w:vAlign w:val="center"/>
          </w:tcPr>
          <w:p w14:paraId="39A7C20A">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是否按规定设置职业病危害警示标识和中文警示说明，告知职业病危害及危害后果。</w:t>
            </w:r>
          </w:p>
        </w:tc>
      </w:tr>
      <w:tr w14:paraId="7E7D1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0" w:type="dxa"/>
            <w:bottom w:w="23" w:type="dxa"/>
            <w:right w:w="0" w:type="dxa"/>
          </w:tblCellMar>
        </w:tblPrEx>
        <w:trPr>
          <w:trHeight w:val="549" w:hRule="atLeast"/>
          <w:jc w:val="center"/>
        </w:trPr>
        <w:tc>
          <w:tcPr>
            <w:tcW w:w="1738" w:type="dxa"/>
            <w:vMerge w:val="continue"/>
            <w:tcBorders>
              <w:top w:val="nil"/>
              <w:bottom w:val="nil"/>
            </w:tcBorders>
            <w:noWrap w:val="0"/>
            <w:vAlign w:val="center"/>
          </w:tcPr>
          <w:p w14:paraId="305AADC4">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1511" w:type="dxa"/>
            <w:vMerge w:val="continue"/>
            <w:tcBorders>
              <w:top w:val="nil"/>
              <w:bottom w:val="nil"/>
            </w:tcBorders>
            <w:noWrap w:val="0"/>
            <w:vAlign w:val="center"/>
          </w:tcPr>
          <w:p w14:paraId="28D578C5">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2801" w:type="dxa"/>
            <w:noWrap w:val="0"/>
            <w:vAlign w:val="center"/>
          </w:tcPr>
          <w:p w14:paraId="2DE0E588">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6</w:t>
            </w:r>
            <w:r>
              <w:rPr>
                <w:rFonts w:hint="eastAsia" w:ascii="仿宋_GB2312" w:hAnsi="仿宋_GB2312" w:eastAsia="仿宋_GB2312" w:cs="仿宋_GB2312"/>
                <w:color w:val="auto"/>
                <w:spacing w:val="0"/>
                <w:sz w:val="21"/>
                <w:szCs w:val="21"/>
              </w:rPr>
              <w:t>.劳动者职业健康监护</w:t>
            </w:r>
          </w:p>
        </w:tc>
        <w:tc>
          <w:tcPr>
            <w:tcW w:w="8365" w:type="dxa"/>
            <w:noWrap w:val="0"/>
            <w:vAlign w:val="center"/>
          </w:tcPr>
          <w:p w14:paraId="4990A88D">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是否按规定开展劳动者职业健康监护、（工业）放射工作人员个人剂量监测。</w:t>
            </w:r>
          </w:p>
        </w:tc>
      </w:tr>
      <w:tr w14:paraId="45B7E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0" w:type="dxa"/>
            <w:bottom w:w="23" w:type="dxa"/>
            <w:right w:w="0" w:type="dxa"/>
          </w:tblCellMar>
        </w:tblPrEx>
        <w:trPr>
          <w:trHeight w:val="825" w:hRule="atLeast"/>
          <w:jc w:val="center"/>
        </w:trPr>
        <w:tc>
          <w:tcPr>
            <w:tcW w:w="1738" w:type="dxa"/>
            <w:vMerge w:val="continue"/>
            <w:tcBorders>
              <w:top w:val="nil"/>
            </w:tcBorders>
            <w:noWrap w:val="0"/>
            <w:vAlign w:val="center"/>
          </w:tcPr>
          <w:p w14:paraId="4F581845">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1511" w:type="dxa"/>
            <w:vMerge w:val="continue"/>
            <w:tcBorders>
              <w:top w:val="nil"/>
            </w:tcBorders>
            <w:noWrap w:val="0"/>
            <w:vAlign w:val="center"/>
          </w:tcPr>
          <w:p w14:paraId="391EF0C9">
            <w:pPr>
              <w:keepNext w:val="0"/>
              <w:keepLines w:val="0"/>
              <w:pageBreakBefore w:val="0"/>
              <w:widowControl w:val="0"/>
              <w:kinsoku/>
              <w:wordWrap/>
              <w:overflowPunct/>
              <w:topLinePunct w:val="0"/>
              <w:autoSpaceDE/>
              <w:autoSpaceDN/>
              <w:bidi w:val="0"/>
              <w:adjustRightInd/>
              <w:snapToGrid/>
              <w:ind w:left="96" w:leftChars="30" w:right="96" w:rightChars="30"/>
              <w:jc w:val="center"/>
              <w:textAlignment w:val="auto"/>
              <w:rPr>
                <w:rFonts w:hint="eastAsia" w:ascii="仿宋_GB2312" w:hAnsi="仿宋_GB2312" w:eastAsia="仿宋_GB2312" w:cs="仿宋_GB2312"/>
                <w:color w:val="auto"/>
                <w:spacing w:val="0"/>
                <w:sz w:val="21"/>
                <w:szCs w:val="21"/>
              </w:rPr>
            </w:pPr>
          </w:p>
        </w:tc>
        <w:tc>
          <w:tcPr>
            <w:tcW w:w="2801" w:type="dxa"/>
            <w:noWrap w:val="0"/>
            <w:vAlign w:val="center"/>
          </w:tcPr>
          <w:p w14:paraId="750F85D8">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7</w:t>
            </w:r>
            <w:r>
              <w:rPr>
                <w:rFonts w:hint="eastAsia" w:ascii="仿宋_GB2312" w:hAnsi="仿宋_GB2312" w:eastAsia="仿宋_GB2312" w:cs="仿宋_GB2312"/>
                <w:color w:val="auto"/>
                <w:spacing w:val="0"/>
                <w:sz w:val="21"/>
                <w:szCs w:val="21"/>
              </w:rPr>
              <w:t>.职业病病人和疑似职业病病人处置</w:t>
            </w:r>
          </w:p>
        </w:tc>
        <w:tc>
          <w:tcPr>
            <w:tcW w:w="8365" w:type="dxa"/>
            <w:noWrap w:val="0"/>
            <w:vAlign w:val="center"/>
          </w:tcPr>
          <w:p w14:paraId="36F486FC">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1</w:t>
            </w:r>
            <w:r>
              <w:rPr>
                <w:rFonts w:hint="eastAsia" w:ascii="仿宋_GB2312" w:hAnsi="仿宋_GB2312" w:eastAsia="仿宋_GB2312" w:cs="仿宋_GB2312"/>
                <w:color w:val="auto"/>
                <w:spacing w:val="0"/>
                <w:sz w:val="21"/>
                <w:szCs w:val="21"/>
              </w:rPr>
              <w:t>.是否按规定处置职业</w:t>
            </w:r>
            <w:r>
              <w:rPr>
                <w:rFonts w:hint="eastAsia" w:ascii="仿宋_GB2312" w:hAnsi="仿宋_GB2312" w:eastAsia="仿宋_GB2312" w:cs="仿宋_GB2312"/>
                <w:color w:val="auto"/>
                <w:spacing w:val="0"/>
                <w:sz w:val="21"/>
                <w:szCs w:val="21"/>
                <w:lang w:val="en-US" w:eastAsia="zh-CN"/>
              </w:rPr>
              <w:t>病</w:t>
            </w:r>
            <w:r>
              <w:rPr>
                <w:rFonts w:hint="eastAsia" w:ascii="仿宋_GB2312" w:hAnsi="仿宋_GB2312" w:eastAsia="仿宋_GB2312" w:cs="仿宋_GB2312"/>
                <w:color w:val="auto"/>
                <w:spacing w:val="0"/>
                <w:sz w:val="21"/>
                <w:szCs w:val="21"/>
              </w:rPr>
              <w:t>病人、疑似职业病人；</w:t>
            </w:r>
          </w:p>
          <w:p w14:paraId="2BAEF05B">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both"/>
              <w:textAlignment w:val="auto"/>
              <w:rPr>
                <w:rFonts w:hint="eastAsia" w:ascii="仿宋_GB2312" w:hAnsi="仿宋_GB2312" w:eastAsia="仿宋_GB2312" w:cs="仿宋_GB2312"/>
                <w:color w:val="auto"/>
                <w:spacing w:val="0"/>
                <w:sz w:val="21"/>
                <w:szCs w:val="21"/>
              </w:rPr>
            </w:pPr>
            <w:r>
              <w:rPr>
                <w:rFonts w:hint="default" w:ascii="Times New Roman" w:hAnsi="Times New Roman" w:eastAsia="仿宋_GB2312" w:cs="Times New Roman"/>
                <w:color w:val="auto"/>
                <w:spacing w:val="0"/>
                <w:sz w:val="21"/>
                <w:szCs w:val="21"/>
              </w:rPr>
              <w:t>2</w:t>
            </w:r>
            <w:r>
              <w:rPr>
                <w:rFonts w:hint="eastAsia" w:ascii="仿宋_GB2312" w:hAnsi="仿宋_GB2312" w:eastAsia="仿宋_GB2312" w:cs="仿宋_GB2312"/>
                <w:color w:val="auto"/>
                <w:spacing w:val="0"/>
                <w:sz w:val="21"/>
                <w:szCs w:val="21"/>
              </w:rPr>
              <w:t>.是否为劳动者进行职业病诊断提供与职业史、职业病危害接触关系等相关资料。</w:t>
            </w:r>
          </w:p>
        </w:tc>
      </w:tr>
    </w:tbl>
    <w:p w14:paraId="1D4F824A">
      <w:pPr>
        <w:pStyle w:val="3"/>
        <w:keepNext w:val="0"/>
        <w:keepLines w:val="0"/>
        <w:pageBreakBefore w:val="0"/>
        <w:widowControl w:val="0"/>
        <w:topLinePunct w:val="0"/>
        <w:bidi w:val="0"/>
        <w:adjustRightInd/>
        <w:snapToGrid/>
        <w:spacing w:before="108" w:line="215" w:lineRule="auto"/>
        <w:ind w:left="81"/>
        <w:rPr>
          <w:rFonts w:hint="eastAsia" w:ascii="黑体" w:hAnsi="黑体" w:eastAsia="黑体" w:cs="黑体"/>
          <w:b w:val="0"/>
          <w:bCs w:val="0"/>
          <w:color w:val="auto"/>
          <w:sz w:val="24"/>
          <w:szCs w:val="24"/>
        </w:rPr>
      </w:pPr>
      <w:r>
        <w:rPr>
          <w:rFonts w:hint="eastAsia" w:ascii="黑体" w:hAnsi="黑体" w:eastAsia="黑体" w:cs="黑体"/>
          <w:b w:val="0"/>
          <w:bCs w:val="0"/>
          <w:color w:val="auto"/>
          <w:spacing w:val="-3"/>
          <w:sz w:val="24"/>
          <w:szCs w:val="24"/>
        </w:rPr>
        <w:t>注：重点检查内容中“</w:t>
      </w:r>
      <w:r>
        <w:rPr>
          <w:rFonts w:hint="default" w:ascii="Times New Roman" w:hAnsi="Times New Roman" w:eastAsia="黑体" w:cs="Times New Roman"/>
          <w:b w:val="0"/>
          <w:bCs w:val="0"/>
          <w:color w:val="auto"/>
          <w:spacing w:val="-3"/>
          <w:sz w:val="24"/>
          <w:szCs w:val="24"/>
        </w:rPr>
        <w:t>3</w:t>
      </w:r>
      <w:r>
        <w:rPr>
          <w:rFonts w:hint="eastAsia" w:ascii="黑体" w:hAnsi="黑体" w:eastAsia="黑体" w:cs="黑体"/>
          <w:b w:val="0"/>
          <w:bCs w:val="0"/>
          <w:color w:val="auto"/>
          <w:spacing w:val="-3"/>
          <w:sz w:val="24"/>
          <w:szCs w:val="24"/>
        </w:rPr>
        <w:t>.职业病危害项目申报”是必查项。</w:t>
      </w:r>
    </w:p>
    <w:p w14:paraId="4571D002">
      <w:pPr>
        <w:keepNext w:val="0"/>
        <w:keepLines w:val="0"/>
        <w:pageBreakBefore w:val="0"/>
        <w:widowControl w:val="0"/>
        <w:topLinePunct w:val="0"/>
        <w:bidi w:val="0"/>
        <w:adjustRightInd/>
        <w:snapToGrid/>
        <w:spacing w:before="101" w:line="228" w:lineRule="auto"/>
        <w:rPr>
          <w:rFonts w:hint="eastAsia" w:ascii="黑体" w:hAnsi="黑体" w:eastAsia="黑体" w:cs="黑体"/>
          <w:color w:val="auto"/>
          <w:sz w:val="32"/>
          <w:szCs w:val="32"/>
        </w:rPr>
      </w:pPr>
      <w:r>
        <w:rPr>
          <w:rFonts w:hint="eastAsia" w:ascii="黑体" w:hAnsi="黑体" w:eastAsia="黑体" w:cs="黑体"/>
          <w:color w:val="auto"/>
          <w:spacing w:val="-4"/>
          <w:sz w:val="32"/>
          <w:szCs w:val="32"/>
        </w:rPr>
        <w:br w:type="page"/>
      </w:r>
      <w:r>
        <w:rPr>
          <w:rFonts w:hint="eastAsia" w:ascii="黑体" w:hAnsi="黑体" w:eastAsia="黑体" w:cs="黑体"/>
          <w:color w:val="auto"/>
          <w:spacing w:val="-4"/>
          <w:sz w:val="32"/>
          <w:szCs w:val="32"/>
        </w:rPr>
        <w:t>附表</w:t>
      </w:r>
      <w:r>
        <w:rPr>
          <w:rFonts w:hint="default" w:ascii="Times New Roman" w:hAnsi="Times New Roman" w:eastAsia="黑体" w:cs="Times New Roman"/>
          <w:color w:val="auto"/>
          <w:spacing w:val="-4"/>
          <w:sz w:val="32"/>
          <w:szCs w:val="32"/>
        </w:rPr>
        <w:t>2</w:t>
      </w:r>
    </w:p>
    <w:p w14:paraId="547DF028">
      <w:pPr>
        <w:keepNext w:val="0"/>
        <w:keepLines w:val="0"/>
        <w:pageBreakBefore w:val="0"/>
        <w:widowControl w:val="0"/>
        <w:topLinePunct w:val="0"/>
        <w:bidi w:val="0"/>
        <w:adjustRightInd/>
        <w:snapToGrid/>
        <w:spacing w:line="257" w:lineRule="auto"/>
        <w:rPr>
          <w:rFonts w:ascii="Arial"/>
          <w:color w:val="auto"/>
          <w:sz w:val="21"/>
        </w:rPr>
      </w:pPr>
    </w:p>
    <w:p w14:paraId="6EB3B4F1">
      <w:pPr>
        <w:keepNext w:val="0"/>
        <w:keepLines w:val="0"/>
        <w:pageBreakBefore w:val="0"/>
        <w:widowControl w:val="0"/>
        <w:topLinePunct w:val="0"/>
        <w:bidi w:val="0"/>
        <w:adjustRightInd/>
        <w:snapToGrid/>
        <w:spacing w:before="140" w:line="222" w:lineRule="auto"/>
        <w:ind w:left="2086"/>
        <w:outlineLvl w:val="0"/>
        <w:rPr>
          <w:rFonts w:hint="eastAsia" w:ascii="方正小标宋简体" w:hAnsi="方正小标宋简体" w:eastAsia="方正小标宋简体" w:cs="方正小标宋简体"/>
          <w:b w:val="0"/>
          <w:bCs w:val="0"/>
          <w:color w:val="auto"/>
          <w:sz w:val="44"/>
          <w:szCs w:val="44"/>
        </w:rPr>
      </w:pPr>
      <w:r>
        <w:rPr>
          <w:rFonts w:hint="default" w:ascii="Times New Roman" w:hAnsi="Times New Roman" w:eastAsia="方正小标宋简体" w:cs="Times New Roman"/>
          <w:b w:val="0"/>
          <w:bCs w:val="0"/>
          <w:color w:val="auto"/>
          <w:spacing w:val="5"/>
          <w:sz w:val="44"/>
          <w:szCs w:val="44"/>
        </w:rPr>
        <w:t>2025</w:t>
      </w:r>
      <w:r>
        <w:rPr>
          <w:rFonts w:hint="eastAsia" w:ascii="方正小标宋简体" w:hAnsi="方正小标宋简体" w:eastAsia="方正小标宋简体" w:cs="方正小标宋简体"/>
          <w:b w:val="0"/>
          <w:bCs w:val="0"/>
          <w:color w:val="auto"/>
          <w:spacing w:val="5"/>
          <w:sz w:val="44"/>
          <w:szCs w:val="44"/>
        </w:rPr>
        <w:t>年用人单位职业卫生国家随机监督抽</w:t>
      </w:r>
      <w:r>
        <w:rPr>
          <w:rFonts w:hint="eastAsia" w:ascii="方正小标宋简体" w:hAnsi="方正小标宋简体" w:eastAsia="方正小标宋简体" w:cs="方正小标宋简体"/>
          <w:b w:val="0"/>
          <w:bCs w:val="0"/>
          <w:color w:val="auto"/>
          <w:spacing w:val="4"/>
          <w:sz w:val="44"/>
          <w:szCs w:val="44"/>
        </w:rPr>
        <w:t>查汇总表</w:t>
      </w:r>
    </w:p>
    <w:p w14:paraId="45AA40A5">
      <w:pPr>
        <w:keepNext w:val="0"/>
        <w:keepLines w:val="0"/>
        <w:pageBreakBefore w:val="0"/>
        <w:widowControl w:val="0"/>
        <w:topLinePunct w:val="0"/>
        <w:bidi w:val="0"/>
        <w:adjustRightInd/>
        <w:snapToGrid/>
        <w:spacing w:line="189" w:lineRule="exact"/>
        <w:rPr>
          <w:color w:val="auto"/>
        </w:rPr>
      </w:pPr>
    </w:p>
    <w:tbl>
      <w:tblPr>
        <w:tblStyle w:val="13"/>
        <w:tblW w:w="139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897"/>
        <w:gridCol w:w="910"/>
        <w:gridCol w:w="794"/>
        <w:gridCol w:w="580"/>
        <w:gridCol w:w="848"/>
        <w:gridCol w:w="935"/>
        <w:gridCol w:w="876"/>
        <w:gridCol w:w="828"/>
        <w:gridCol w:w="966"/>
        <w:gridCol w:w="714"/>
        <w:gridCol w:w="864"/>
        <w:gridCol w:w="888"/>
        <w:gridCol w:w="1155"/>
        <w:gridCol w:w="703"/>
        <w:gridCol w:w="804"/>
        <w:gridCol w:w="1195"/>
      </w:tblGrid>
      <w:tr w14:paraId="73C27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6" w:hRule="atLeast"/>
          <w:jc w:val="center"/>
        </w:trPr>
        <w:tc>
          <w:tcPr>
            <w:tcW w:w="897" w:type="dxa"/>
            <w:vMerge w:val="restart"/>
            <w:tcBorders>
              <w:bottom w:val="nil"/>
            </w:tcBorders>
            <w:noWrap w:val="0"/>
            <w:vAlign w:val="center"/>
          </w:tcPr>
          <w:p w14:paraId="07D954AB">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监督</w:t>
            </w:r>
            <w:r>
              <w:rPr>
                <w:rFonts w:hint="eastAsia" w:ascii="仿宋_GB2312" w:hAnsi="仿宋_GB2312" w:eastAsia="仿宋_GB2312" w:cs="仿宋_GB2312"/>
                <w:color w:val="auto"/>
                <w:spacing w:val="0"/>
                <w:w w:val="100"/>
                <w:sz w:val="21"/>
              </w:rPr>
              <w:br w:type="textWrapping"/>
            </w:r>
            <w:r>
              <w:rPr>
                <w:rFonts w:hint="eastAsia" w:ascii="仿宋_GB2312" w:hAnsi="仿宋_GB2312" w:eastAsia="仿宋_GB2312" w:cs="仿宋_GB2312"/>
                <w:color w:val="auto"/>
                <w:spacing w:val="0"/>
                <w:w w:val="100"/>
                <w:sz w:val="21"/>
              </w:rPr>
              <w:t>检查对象</w:t>
            </w:r>
          </w:p>
        </w:tc>
        <w:tc>
          <w:tcPr>
            <w:tcW w:w="910" w:type="dxa"/>
            <w:vMerge w:val="restart"/>
            <w:tcBorders>
              <w:bottom w:val="nil"/>
            </w:tcBorders>
            <w:noWrap w:val="0"/>
            <w:vAlign w:val="center"/>
          </w:tcPr>
          <w:p w14:paraId="609CEC8B">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辖区</w:t>
            </w:r>
            <w:r>
              <w:rPr>
                <w:rFonts w:hint="eastAsia" w:ascii="仿宋_GB2312" w:hAnsi="仿宋_GB2312" w:eastAsia="仿宋_GB2312" w:cs="仿宋_GB2312"/>
                <w:color w:val="auto"/>
                <w:spacing w:val="0"/>
                <w:w w:val="100"/>
                <w:sz w:val="21"/>
              </w:rPr>
              <w:br w:type="textWrapping"/>
            </w:r>
            <w:r>
              <w:rPr>
                <w:rFonts w:hint="eastAsia" w:ascii="仿宋_GB2312" w:hAnsi="仿宋_GB2312" w:eastAsia="仿宋_GB2312" w:cs="仿宋_GB2312"/>
                <w:color w:val="auto"/>
                <w:spacing w:val="0"/>
                <w:w w:val="100"/>
                <w:sz w:val="21"/>
              </w:rPr>
              <w:t>单位数</w:t>
            </w:r>
          </w:p>
        </w:tc>
        <w:tc>
          <w:tcPr>
            <w:tcW w:w="794" w:type="dxa"/>
            <w:vMerge w:val="restart"/>
            <w:tcBorders>
              <w:bottom w:val="nil"/>
            </w:tcBorders>
            <w:noWrap w:val="0"/>
            <w:vAlign w:val="center"/>
          </w:tcPr>
          <w:p w14:paraId="26729A22">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抽查</w:t>
            </w:r>
            <w:r>
              <w:rPr>
                <w:rFonts w:hint="eastAsia" w:ascii="仿宋_GB2312" w:hAnsi="仿宋_GB2312" w:eastAsia="仿宋_GB2312" w:cs="仿宋_GB2312"/>
                <w:color w:val="auto"/>
                <w:spacing w:val="0"/>
                <w:w w:val="100"/>
                <w:sz w:val="21"/>
              </w:rPr>
              <w:br w:type="textWrapping"/>
            </w:r>
            <w:r>
              <w:rPr>
                <w:rFonts w:hint="eastAsia" w:ascii="仿宋_GB2312" w:hAnsi="仿宋_GB2312" w:eastAsia="仿宋_GB2312" w:cs="仿宋_GB2312"/>
                <w:color w:val="auto"/>
                <w:spacing w:val="0"/>
                <w:w w:val="100"/>
                <w:sz w:val="21"/>
              </w:rPr>
              <w:t>单位数</w:t>
            </w:r>
          </w:p>
        </w:tc>
        <w:tc>
          <w:tcPr>
            <w:tcW w:w="580" w:type="dxa"/>
            <w:vMerge w:val="restart"/>
            <w:tcBorders>
              <w:bottom w:val="nil"/>
            </w:tcBorders>
            <w:noWrap w:val="0"/>
            <w:vAlign w:val="center"/>
          </w:tcPr>
          <w:p w14:paraId="16EF44FC">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不合格单位数</w:t>
            </w:r>
          </w:p>
        </w:tc>
        <w:tc>
          <w:tcPr>
            <w:tcW w:w="8074" w:type="dxa"/>
            <w:gridSpan w:val="9"/>
            <w:noWrap w:val="0"/>
            <w:vAlign w:val="center"/>
          </w:tcPr>
          <w:p w14:paraId="3135AFA4">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不合格情况</w:t>
            </w:r>
          </w:p>
        </w:tc>
        <w:tc>
          <w:tcPr>
            <w:tcW w:w="2702" w:type="dxa"/>
            <w:gridSpan w:val="3"/>
            <w:vMerge w:val="restart"/>
            <w:tcBorders>
              <w:bottom w:val="nil"/>
            </w:tcBorders>
            <w:noWrap w:val="0"/>
            <w:vAlign w:val="center"/>
          </w:tcPr>
          <w:p w14:paraId="78596C50">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行政处罚情况</w:t>
            </w:r>
          </w:p>
        </w:tc>
      </w:tr>
      <w:tr w14:paraId="40094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218" w:hRule="atLeast"/>
          <w:jc w:val="center"/>
        </w:trPr>
        <w:tc>
          <w:tcPr>
            <w:tcW w:w="897" w:type="dxa"/>
            <w:vMerge w:val="continue"/>
            <w:tcBorders>
              <w:top w:val="nil"/>
              <w:bottom w:val="nil"/>
            </w:tcBorders>
            <w:noWrap w:val="0"/>
            <w:vAlign w:val="center"/>
          </w:tcPr>
          <w:p w14:paraId="068B5700">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p>
        </w:tc>
        <w:tc>
          <w:tcPr>
            <w:tcW w:w="910" w:type="dxa"/>
            <w:vMerge w:val="continue"/>
            <w:tcBorders>
              <w:top w:val="nil"/>
              <w:bottom w:val="nil"/>
            </w:tcBorders>
            <w:noWrap w:val="0"/>
            <w:vAlign w:val="center"/>
          </w:tcPr>
          <w:p w14:paraId="1303CBD3">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p>
        </w:tc>
        <w:tc>
          <w:tcPr>
            <w:tcW w:w="794" w:type="dxa"/>
            <w:vMerge w:val="continue"/>
            <w:tcBorders>
              <w:top w:val="nil"/>
              <w:bottom w:val="nil"/>
            </w:tcBorders>
            <w:noWrap w:val="0"/>
            <w:vAlign w:val="center"/>
          </w:tcPr>
          <w:p w14:paraId="64F8BEAA">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p>
        </w:tc>
        <w:tc>
          <w:tcPr>
            <w:tcW w:w="580" w:type="dxa"/>
            <w:vMerge w:val="continue"/>
            <w:tcBorders>
              <w:top w:val="nil"/>
              <w:bottom w:val="nil"/>
            </w:tcBorders>
            <w:noWrap w:val="0"/>
            <w:vAlign w:val="center"/>
          </w:tcPr>
          <w:p w14:paraId="5B08C4FF">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p>
        </w:tc>
        <w:tc>
          <w:tcPr>
            <w:tcW w:w="848" w:type="dxa"/>
            <w:noWrap w:val="0"/>
            <w:vAlign w:val="center"/>
          </w:tcPr>
          <w:p w14:paraId="08FEE7C9">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职业卫生培训</w:t>
            </w:r>
          </w:p>
        </w:tc>
        <w:tc>
          <w:tcPr>
            <w:tcW w:w="935" w:type="dxa"/>
            <w:noWrap w:val="0"/>
            <w:vAlign w:val="center"/>
          </w:tcPr>
          <w:p w14:paraId="4A0C0FE9">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建设项目“三同时”</w:t>
            </w:r>
          </w:p>
        </w:tc>
        <w:tc>
          <w:tcPr>
            <w:tcW w:w="876" w:type="dxa"/>
            <w:noWrap w:val="0"/>
            <w:vAlign w:val="center"/>
          </w:tcPr>
          <w:p w14:paraId="62E3F98E">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职业病危害项目申报</w:t>
            </w:r>
          </w:p>
        </w:tc>
        <w:tc>
          <w:tcPr>
            <w:tcW w:w="1794" w:type="dxa"/>
            <w:gridSpan w:val="2"/>
            <w:noWrap w:val="0"/>
            <w:vAlign w:val="center"/>
          </w:tcPr>
          <w:p w14:paraId="756923D8">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工作场所职业卫生管理</w:t>
            </w:r>
          </w:p>
        </w:tc>
        <w:tc>
          <w:tcPr>
            <w:tcW w:w="714" w:type="dxa"/>
            <w:noWrap w:val="0"/>
            <w:vAlign w:val="center"/>
          </w:tcPr>
          <w:p w14:paraId="7427A506">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职业病危害警示和告知</w:t>
            </w:r>
          </w:p>
        </w:tc>
        <w:tc>
          <w:tcPr>
            <w:tcW w:w="864" w:type="dxa"/>
            <w:noWrap w:val="0"/>
            <w:vAlign w:val="center"/>
          </w:tcPr>
          <w:p w14:paraId="5AE9F4A6">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劳动者职业健康监护</w:t>
            </w:r>
          </w:p>
        </w:tc>
        <w:tc>
          <w:tcPr>
            <w:tcW w:w="2043" w:type="dxa"/>
            <w:gridSpan w:val="2"/>
            <w:noWrap w:val="0"/>
            <w:vAlign w:val="center"/>
          </w:tcPr>
          <w:p w14:paraId="11747352">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职业病病人和疑似职业病病人处置</w:t>
            </w:r>
          </w:p>
        </w:tc>
        <w:tc>
          <w:tcPr>
            <w:tcW w:w="2702" w:type="dxa"/>
            <w:gridSpan w:val="3"/>
            <w:vMerge w:val="continue"/>
            <w:tcBorders>
              <w:top w:val="nil"/>
            </w:tcBorders>
            <w:noWrap w:val="0"/>
            <w:vAlign w:val="center"/>
          </w:tcPr>
          <w:p w14:paraId="50520732">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p>
        </w:tc>
      </w:tr>
      <w:tr w14:paraId="301B9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2726" w:hRule="atLeast"/>
          <w:jc w:val="center"/>
        </w:trPr>
        <w:tc>
          <w:tcPr>
            <w:tcW w:w="897" w:type="dxa"/>
            <w:vMerge w:val="continue"/>
            <w:tcBorders>
              <w:top w:val="nil"/>
            </w:tcBorders>
            <w:noWrap w:val="0"/>
            <w:vAlign w:val="center"/>
          </w:tcPr>
          <w:p w14:paraId="195A14A1">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p>
        </w:tc>
        <w:tc>
          <w:tcPr>
            <w:tcW w:w="910" w:type="dxa"/>
            <w:vMerge w:val="continue"/>
            <w:tcBorders>
              <w:top w:val="nil"/>
            </w:tcBorders>
            <w:noWrap w:val="0"/>
            <w:vAlign w:val="center"/>
          </w:tcPr>
          <w:p w14:paraId="501EFB3E">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p>
        </w:tc>
        <w:tc>
          <w:tcPr>
            <w:tcW w:w="794" w:type="dxa"/>
            <w:vMerge w:val="continue"/>
            <w:tcBorders>
              <w:top w:val="nil"/>
            </w:tcBorders>
            <w:noWrap w:val="0"/>
            <w:vAlign w:val="center"/>
          </w:tcPr>
          <w:p w14:paraId="54CCC60C">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p>
        </w:tc>
        <w:tc>
          <w:tcPr>
            <w:tcW w:w="580" w:type="dxa"/>
            <w:vMerge w:val="continue"/>
            <w:tcBorders>
              <w:top w:val="nil"/>
            </w:tcBorders>
            <w:noWrap w:val="0"/>
            <w:vAlign w:val="center"/>
          </w:tcPr>
          <w:p w14:paraId="7EF581F9">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p>
        </w:tc>
        <w:tc>
          <w:tcPr>
            <w:tcW w:w="848" w:type="dxa"/>
            <w:noWrap w:val="0"/>
            <w:vAlign w:val="center"/>
          </w:tcPr>
          <w:p w14:paraId="499BA658">
            <w:pPr>
              <w:pStyle w:val="12"/>
              <w:keepNext w:val="0"/>
              <w:keepLines w:val="0"/>
              <w:pageBreakBefore w:val="0"/>
              <w:widowControl w:val="0"/>
              <w:tabs>
                <w:tab w:val="left" w:pos="840"/>
              </w:tabs>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职业卫生培训不合格单位数</w:t>
            </w:r>
          </w:p>
        </w:tc>
        <w:tc>
          <w:tcPr>
            <w:tcW w:w="935" w:type="dxa"/>
            <w:noWrap w:val="0"/>
            <w:vAlign w:val="center"/>
          </w:tcPr>
          <w:p w14:paraId="4A7E3AD9">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建设项目职业病防护设施“三同时”不合格单位数</w:t>
            </w:r>
          </w:p>
        </w:tc>
        <w:tc>
          <w:tcPr>
            <w:tcW w:w="876" w:type="dxa"/>
            <w:noWrap w:val="0"/>
            <w:vAlign w:val="center"/>
          </w:tcPr>
          <w:p w14:paraId="1B1CC514">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工作场所职业病危害项目申报不合格单位数</w:t>
            </w:r>
          </w:p>
        </w:tc>
        <w:tc>
          <w:tcPr>
            <w:tcW w:w="828" w:type="dxa"/>
            <w:noWrap w:val="0"/>
            <w:vAlign w:val="center"/>
          </w:tcPr>
          <w:p w14:paraId="46653065">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工作场所职业病危害因素监测、检测、评价不合格单位数</w:t>
            </w:r>
          </w:p>
        </w:tc>
        <w:tc>
          <w:tcPr>
            <w:tcW w:w="966" w:type="dxa"/>
            <w:noWrap w:val="0"/>
            <w:vAlign w:val="center"/>
          </w:tcPr>
          <w:p w14:paraId="0E8B51A9">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职业病防护设施、应急救援设施、防护用品不合格单位</w:t>
            </w:r>
          </w:p>
          <w:p w14:paraId="56893DE9">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数</w:t>
            </w:r>
          </w:p>
        </w:tc>
        <w:tc>
          <w:tcPr>
            <w:tcW w:w="714" w:type="dxa"/>
            <w:noWrap w:val="0"/>
            <w:vAlign w:val="center"/>
          </w:tcPr>
          <w:p w14:paraId="54557D99">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职业病危害警示和告知不合格单位数</w:t>
            </w:r>
          </w:p>
        </w:tc>
        <w:tc>
          <w:tcPr>
            <w:tcW w:w="864" w:type="dxa"/>
            <w:noWrap w:val="0"/>
            <w:vAlign w:val="center"/>
          </w:tcPr>
          <w:p w14:paraId="44D8F903">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劳动者职业健康监护、放射工作人员个人剂量监测不合格单位数</w:t>
            </w:r>
          </w:p>
        </w:tc>
        <w:tc>
          <w:tcPr>
            <w:tcW w:w="888" w:type="dxa"/>
            <w:noWrap w:val="0"/>
            <w:vAlign w:val="center"/>
          </w:tcPr>
          <w:p w14:paraId="73441B97">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职业病病人、疑似职业病病人处置不合格单位数</w:t>
            </w:r>
          </w:p>
        </w:tc>
        <w:tc>
          <w:tcPr>
            <w:tcW w:w="1155" w:type="dxa"/>
            <w:noWrap w:val="0"/>
            <w:vAlign w:val="center"/>
          </w:tcPr>
          <w:p w14:paraId="0171887A">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未为劳动者进行职业病诊断提供健康损害与职业史、职业病危害接触关系等相关资料单位数</w:t>
            </w:r>
          </w:p>
        </w:tc>
        <w:tc>
          <w:tcPr>
            <w:tcW w:w="703" w:type="dxa"/>
            <w:noWrap w:val="0"/>
            <w:vAlign w:val="center"/>
          </w:tcPr>
          <w:p w14:paraId="4527B86C">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案件查处数</w:t>
            </w:r>
          </w:p>
        </w:tc>
        <w:tc>
          <w:tcPr>
            <w:tcW w:w="804" w:type="dxa"/>
            <w:noWrap w:val="0"/>
            <w:vAlign w:val="center"/>
          </w:tcPr>
          <w:p w14:paraId="3FD7E633">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警告单位数</w:t>
            </w:r>
          </w:p>
        </w:tc>
        <w:tc>
          <w:tcPr>
            <w:tcW w:w="1195" w:type="dxa"/>
            <w:noWrap w:val="0"/>
            <w:vAlign w:val="center"/>
          </w:tcPr>
          <w:p w14:paraId="6C58E9AE">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罚款</w:t>
            </w:r>
          </w:p>
          <w:p w14:paraId="3FFFA8D6">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0"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（万元）</w:t>
            </w:r>
          </w:p>
        </w:tc>
      </w:tr>
      <w:tr w14:paraId="45924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103" w:hRule="atLeast"/>
          <w:jc w:val="center"/>
        </w:trPr>
        <w:tc>
          <w:tcPr>
            <w:tcW w:w="897" w:type="dxa"/>
            <w:noWrap w:val="0"/>
            <w:vAlign w:val="center"/>
          </w:tcPr>
          <w:p w14:paraId="17290E29">
            <w:pPr>
              <w:pStyle w:val="12"/>
              <w:keepNext w:val="0"/>
              <w:keepLines w:val="0"/>
              <w:pageBreakBefore w:val="0"/>
              <w:widowControl w:val="0"/>
              <w:kinsoku/>
              <w:wordWrap/>
              <w:overflowPunct/>
              <w:topLinePunct w:val="0"/>
              <w:autoSpaceDE/>
              <w:autoSpaceDN/>
              <w:bidi w:val="0"/>
              <w:adjustRightInd/>
              <w:snapToGrid/>
              <w:spacing w:line="238" w:lineRule="auto"/>
              <w:ind w:left="190" w:right="177" w:firstLine="0"/>
              <w:jc w:val="center"/>
              <w:textAlignment w:val="auto"/>
              <w:rPr>
                <w:rFonts w:hint="eastAsia" w:ascii="仿宋_GB2312" w:hAnsi="仿宋_GB2312" w:eastAsia="仿宋_GB2312" w:cs="仿宋_GB2312"/>
                <w:color w:val="auto"/>
                <w:spacing w:val="0"/>
                <w:w w:val="100"/>
                <w:sz w:val="21"/>
              </w:rPr>
            </w:pPr>
            <w:r>
              <w:rPr>
                <w:rFonts w:hint="eastAsia" w:ascii="仿宋_GB2312" w:hAnsi="仿宋_GB2312" w:eastAsia="仿宋_GB2312" w:cs="仿宋_GB2312"/>
                <w:color w:val="auto"/>
                <w:spacing w:val="0"/>
                <w:w w:val="100"/>
                <w:sz w:val="21"/>
              </w:rPr>
              <w:t>用人单位</w:t>
            </w:r>
          </w:p>
        </w:tc>
        <w:tc>
          <w:tcPr>
            <w:tcW w:w="910" w:type="dxa"/>
            <w:noWrap w:val="0"/>
            <w:vAlign w:val="center"/>
          </w:tcPr>
          <w:p w14:paraId="0EAE96EF">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794" w:type="dxa"/>
            <w:noWrap w:val="0"/>
            <w:vAlign w:val="center"/>
          </w:tcPr>
          <w:p w14:paraId="3A6ADBC6">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580" w:type="dxa"/>
            <w:noWrap w:val="0"/>
            <w:vAlign w:val="center"/>
          </w:tcPr>
          <w:p w14:paraId="43035990">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848" w:type="dxa"/>
            <w:noWrap w:val="0"/>
            <w:vAlign w:val="center"/>
          </w:tcPr>
          <w:p w14:paraId="4001260C">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935" w:type="dxa"/>
            <w:noWrap w:val="0"/>
            <w:vAlign w:val="center"/>
          </w:tcPr>
          <w:p w14:paraId="2D098C8D">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876" w:type="dxa"/>
            <w:noWrap w:val="0"/>
            <w:vAlign w:val="center"/>
          </w:tcPr>
          <w:p w14:paraId="70441F29">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828" w:type="dxa"/>
            <w:noWrap w:val="0"/>
            <w:vAlign w:val="center"/>
          </w:tcPr>
          <w:p w14:paraId="4A4CF95D">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966" w:type="dxa"/>
            <w:noWrap w:val="0"/>
            <w:vAlign w:val="center"/>
          </w:tcPr>
          <w:p w14:paraId="3AFCA892">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714" w:type="dxa"/>
            <w:noWrap w:val="0"/>
            <w:vAlign w:val="center"/>
          </w:tcPr>
          <w:p w14:paraId="423FE38E">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864" w:type="dxa"/>
            <w:noWrap w:val="0"/>
            <w:vAlign w:val="center"/>
          </w:tcPr>
          <w:p w14:paraId="0DD330EB">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888" w:type="dxa"/>
            <w:noWrap w:val="0"/>
            <w:vAlign w:val="center"/>
          </w:tcPr>
          <w:p w14:paraId="612DB72F">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1155" w:type="dxa"/>
            <w:noWrap w:val="0"/>
            <w:vAlign w:val="center"/>
          </w:tcPr>
          <w:p w14:paraId="5BC18CA6">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703" w:type="dxa"/>
            <w:noWrap w:val="0"/>
            <w:vAlign w:val="center"/>
          </w:tcPr>
          <w:p w14:paraId="1EAD0364">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804" w:type="dxa"/>
            <w:noWrap w:val="0"/>
            <w:vAlign w:val="center"/>
          </w:tcPr>
          <w:p w14:paraId="1FD6E6C5">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c>
          <w:tcPr>
            <w:tcW w:w="1195" w:type="dxa"/>
            <w:noWrap w:val="0"/>
            <w:vAlign w:val="center"/>
          </w:tcPr>
          <w:p w14:paraId="39F672B8">
            <w:pPr>
              <w:keepNext w:val="0"/>
              <w:keepLines w:val="0"/>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color w:val="auto"/>
                <w:spacing w:val="0"/>
                <w:w w:val="100"/>
                <w:sz w:val="21"/>
              </w:rPr>
            </w:pPr>
          </w:p>
        </w:tc>
      </w:tr>
    </w:tbl>
    <w:p w14:paraId="048382D4">
      <w:pPr>
        <w:keepNext w:val="0"/>
        <w:keepLines w:val="0"/>
        <w:pageBreakBefore w:val="0"/>
        <w:widowControl w:val="0"/>
        <w:topLinePunct w:val="0"/>
        <w:bidi w:val="0"/>
        <w:adjustRightInd/>
        <w:snapToGrid/>
        <w:rPr>
          <w:rFonts w:ascii="Arial"/>
          <w:color w:val="auto"/>
          <w:sz w:val="21"/>
        </w:rPr>
      </w:pPr>
    </w:p>
    <w:p w14:paraId="12A80C6A">
      <w:pPr>
        <w:keepNext w:val="0"/>
        <w:keepLines w:val="0"/>
        <w:pageBreakBefore w:val="0"/>
        <w:widowControl w:val="0"/>
        <w:topLinePunct w:val="0"/>
        <w:bidi w:val="0"/>
        <w:adjustRightInd/>
        <w:snapToGrid/>
        <w:spacing w:before="101" w:line="228" w:lineRule="auto"/>
        <w:ind w:left="118"/>
        <w:rPr>
          <w:rFonts w:ascii="Times New Roman" w:hAnsi="Times New Roman" w:eastAsia="Times New Roman" w:cs="Times New Roman"/>
          <w:color w:val="auto"/>
          <w:sz w:val="32"/>
          <w:szCs w:val="32"/>
        </w:rPr>
      </w:pPr>
      <w:r>
        <w:rPr>
          <w:rFonts w:ascii="黑体" w:hAnsi="黑体" w:eastAsia="黑体" w:cs="黑体"/>
          <w:color w:val="auto"/>
          <w:spacing w:val="-4"/>
          <w:sz w:val="32"/>
          <w:szCs w:val="32"/>
        </w:rPr>
        <w:br w:type="page"/>
      </w:r>
      <w:r>
        <w:rPr>
          <w:rFonts w:ascii="黑体" w:hAnsi="黑体" w:eastAsia="黑体" w:cs="黑体"/>
          <w:color w:val="auto"/>
          <w:spacing w:val="-4"/>
          <w:sz w:val="32"/>
          <w:szCs w:val="32"/>
        </w:rPr>
        <w:t>附表</w:t>
      </w:r>
      <w:r>
        <w:rPr>
          <w:rFonts w:hint="default" w:ascii="Times New Roman" w:hAnsi="Times New Roman" w:eastAsia="Times New Roman" w:cs="Times New Roman"/>
          <w:color w:val="auto"/>
          <w:spacing w:val="-4"/>
          <w:sz w:val="32"/>
          <w:szCs w:val="32"/>
        </w:rPr>
        <w:t>3</w:t>
      </w:r>
    </w:p>
    <w:p w14:paraId="4AFDD30C">
      <w:pPr>
        <w:keepNext w:val="0"/>
        <w:keepLines w:val="0"/>
        <w:pageBreakBefore w:val="0"/>
        <w:widowControl w:val="0"/>
        <w:topLinePunct w:val="0"/>
        <w:bidi w:val="0"/>
        <w:adjustRightInd/>
        <w:snapToGrid/>
        <w:spacing w:before="201" w:line="593" w:lineRule="exact"/>
        <w:ind w:left="666"/>
        <w:outlineLvl w:val="0"/>
        <w:rPr>
          <w:rFonts w:hint="eastAsia" w:ascii="方正小标宋简体" w:hAnsi="方正小标宋简体" w:eastAsia="方正小标宋简体" w:cs="方正小标宋简体"/>
          <w:b w:val="0"/>
          <w:bCs w:val="0"/>
          <w:color w:val="auto"/>
          <w:sz w:val="44"/>
          <w:szCs w:val="44"/>
        </w:rPr>
      </w:pPr>
      <w:r>
        <w:rPr>
          <w:rFonts w:hint="default" w:ascii="Times New Roman" w:hAnsi="Times New Roman" w:eastAsia="方正小标宋简体" w:cs="Times New Roman"/>
          <w:b w:val="0"/>
          <w:bCs w:val="0"/>
          <w:color w:val="auto"/>
          <w:spacing w:val="5"/>
          <w:position w:val="2"/>
          <w:sz w:val="44"/>
          <w:szCs w:val="44"/>
        </w:rPr>
        <w:t>2025</w:t>
      </w:r>
      <w:r>
        <w:rPr>
          <w:rFonts w:hint="eastAsia" w:ascii="方正小标宋简体" w:hAnsi="方正小标宋简体" w:eastAsia="方正小标宋简体" w:cs="方正小标宋简体"/>
          <w:b w:val="0"/>
          <w:bCs w:val="0"/>
          <w:color w:val="auto"/>
          <w:spacing w:val="5"/>
          <w:position w:val="2"/>
          <w:sz w:val="44"/>
          <w:szCs w:val="44"/>
        </w:rPr>
        <w:t>年职业卫生和放射卫生技术服务机构国家随机监督抽查计</w:t>
      </w:r>
      <w:r>
        <w:rPr>
          <w:rFonts w:hint="eastAsia" w:ascii="方正小标宋简体" w:hAnsi="方正小标宋简体" w:eastAsia="方正小标宋简体" w:cs="方正小标宋简体"/>
          <w:b w:val="0"/>
          <w:bCs w:val="0"/>
          <w:color w:val="auto"/>
          <w:spacing w:val="4"/>
          <w:position w:val="2"/>
          <w:sz w:val="44"/>
          <w:szCs w:val="44"/>
        </w:rPr>
        <w:t>划表</w:t>
      </w:r>
    </w:p>
    <w:tbl>
      <w:tblPr>
        <w:tblStyle w:val="13"/>
        <w:tblW w:w="141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34" w:type="dxa"/>
          <w:left w:w="28" w:type="dxa"/>
          <w:bottom w:w="34" w:type="dxa"/>
          <w:right w:w="28" w:type="dxa"/>
        </w:tblCellMar>
      </w:tblPr>
      <w:tblGrid>
        <w:gridCol w:w="1037"/>
        <w:gridCol w:w="2166"/>
        <w:gridCol w:w="1584"/>
        <w:gridCol w:w="9391"/>
      </w:tblGrid>
      <w:tr w14:paraId="5A952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4" w:type="dxa"/>
            <w:left w:w="28" w:type="dxa"/>
            <w:bottom w:w="34" w:type="dxa"/>
            <w:right w:w="28" w:type="dxa"/>
          </w:tblCellMar>
        </w:tblPrEx>
        <w:trPr>
          <w:trHeight w:val="473" w:hRule="atLeast"/>
          <w:jc w:val="center"/>
        </w:trPr>
        <w:tc>
          <w:tcPr>
            <w:tcW w:w="1037" w:type="dxa"/>
            <w:noWrap w:val="0"/>
            <w:vAlign w:val="center"/>
          </w:tcPr>
          <w:p w14:paraId="25B26F66">
            <w:pPr>
              <w:pStyle w:val="12"/>
              <w:keepNext w:val="0"/>
              <w:keepLines w:val="0"/>
              <w:pageBreakBefore w:val="0"/>
              <w:widowControl w:val="0"/>
              <w:kinsoku/>
              <w:wordWrap/>
              <w:overflowPunct/>
              <w:topLinePunct w:val="0"/>
              <w:autoSpaceDE/>
              <w:autoSpaceDN/>
              <w:bidi w:val="0"/>
              <w:adjustRightInd/>
              <w:snapToGrid/>
              <w:spacing w:line="240" w:lineRule="auto"/>
              <w:ind w:left="0" w:right="0" w:rightChars="0" w:firstLine="0"/>
              <w:jc w:val="center"/>
              <w:textAlignment w:val="auto"/>
              <w:rPr>
                <w:rFonts w:hint="eastAsia" w:ascii="黑体" w:hAnsi="黑体" w:eastAsia="黑体" w:cs="黑体"/>
                <w:color w:val="auto"/>
                <w:spacing w:val="0"/>
                <w:position w:val="0"/>
                <w:sz w:val="21"/>
                <w:szCs w:val="21"/>
              </w:rPr>
            </w:pPr>
            <w:r>
              <w:rPr>
                <w:rFonts w:hint="eastAsia" w:ascii="黑体" w:hAnsi="黑体" w:eastAsia="黑体" w:cs="黑体"/>
                <w:color w:val="auto"/>
                <w:spacing w:val="0"/>
                <w:position w:val="0"/>
                <w:sz w:val="21"/>
                <w:szCs w:val="21"/>
              </w:rPr>
              <w:t>监督检查对象</w:t>
            </w:r>
          </w:p>
        </w:tc>
        <w:tc>
          <w:tcPr>
            <w:tcW w:w="2166" w:type="dxa"/>
            <w:noWrap w:val="0"/>
            <w:vAlign w:val="center"/>
          </w:tcPr>
          <w:p w14:paraId="5189F68E">
            <w:pPr>
              <w:pStyle w:val="12"/>
              <w:keepNext w:val="0"/>
              <w:keepLines w:val="0"/>
              <w:pageBreakBefore w:val="0"/>
              <w:widowControl w:val="0"/>
              <w:kinsoku/>
              <w:wordWrap/>
              <w:overflowPunct/>
              <w:topLinePunct w:val="0"/>
              <w:autoSpaceDE/>
              <w:autoSpaceDN/>
              <w:bidi w:val="0"/>
              <w:adjustRightInd/>
              <w:snapToGrid/>
              <w:spacing w:line="240" w:lineRule="auto"/>
              <w:ind w:left="0" w:right="0" w:rightChars="0" w:firstLine="0"/>
              <w:jc w:val="center"/>
              <w:textAlignment w:val="auto"/>
              <w:rPr>
                <w:rFonts w:hint="eastAsia" w:ascii="黑体" w:hAnsi="黑体" w:eastAsia="黑体" w:cs="黑体"/>
                <w:color w:val="auto"/>
                <w:spacing w:val="0"/>
                <w:position w:val="0"/>
                <w:sz w:val="21"/>
                <w:szCs w:val="21"/>
              </w:rPr>
            </w:pPr>
            <w:r>
              <w:rPr>
                <w:rFonts w:hint="eastAsia" w:ascii="黑体" w:hAnsi="黑体" w:eastAsia="黑体" w:cs="黑体"/>
                <w:color w:val="auto"/>
                <w:spacing w:val="0"/>
                <w:position w:val="0"/>
                <w:sz w:val="21"/>
                <w:szCs w:val="21"/>
              </w:rPr>
              <w:t>抽查任务</w:t>
            </w:r>
          </w:p>
        </w:tc>
        <w:tc>
          <w:tcPr>
            <w:tcW w:w="10975" w:type="dxa"/>
            <w:gridSpan w:val="2"/>
            <w:noWrap w:val="0"/>
            <w:vAlign w:val="center"/>
          </w:tcPr>
          <w:p w14:paraId="45D4C899">
            <w:pPr>
              <w:pStyle w:val="12"/>
              <w:keepNext w:val="0"/>
              <w:keepLines w:val="0"/>
              <w:pageBreakBefore w:val="0"/>
              <w:widowControl w:val="0"/>
              <w:kinsoku/>
              <w:wordWrap/>
              <w:overflowPunct/>
              <w:topLinePunct w:val="0"/>
              <w:autoSpaceDE/>
              <w:autoSpaceDN/>
              <w:bidi w:val="0"/>
              <w:adjustRightInd/>
              <w:snapToGrid/>
              <w:spacing w:line="240" w:lineRule="auto"/>
              <w:ind w:left="0" w:right="0" w:rightChars="0" w:firstLine="0"/>
              <w:jc w:val="center"/>
              <w:textAlignment w:val="auto"/>
              <w:rPr>
                <w:rFonts w:hint="eastAsia" w:ascii="黑体" w:hAnsi="黑体" w:eastAsia="黑体" w:cs="黑体"/>
                <w:color w:val="auto"/>
                <w:spacing w:val="0"/>
                <w:position w:val="0"/>
                <w:sz w:val="21"/>
                <w:szCs w:val="21"/>
              </w:rPr>
            </w:pPr>
            <w:r>
              <w:rPr>
                <w:rFonts w:hint="eastAsia" w:ascii="黑体" w:hAnsi="黑体" w:eastAsia="黑体" w:cs="黑体"/>
                <w:color w:val="auto"/>
                <w:spacing w:val="0"/>
                <w:position w:val="0"/>
                <w:sz w:val="21"/>
                <w:szCs w:val="21"/>
              </w:rPr>
              <w:t>重点检查内容</w:t>
            </w:r>
          </w:p>
        </w:tc>
      </w:tr>
      <w:tr w14:paraId="254E0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4" w:type="dxa"/>
            <w:left w:w="28" w:type="dxa"/>
            <w:bottom w:w="34" w:type="dxa"/>
            <w:right w:w="28" w:type="dxa"/>
          </w:tblCellMar>
        </w:tblPrEx>
        <w:trPr>
          <w:trHeight w:val="1008" w:hRule="atLeast"/>
          <w:jc w:val="center"/>
        </w:trPr>
        <w:tc>
          <w:tcPr>
            <w:tcW w:w="1037" w:type="dxa"/>
            <w:vMerge w:val="restart"/>
            <w:tcBorders>
              <w:bottom w:val="nil"/>
            </w:tcBorders>
            <w:noWrap w:val="0"/>
            <w:vAlign w:val="center"/>
          </w:tcPr>
          <w:p w14:paraId="486E6FB7">
            <w:pPr>
              <w:pStyle w:val="12"/>
              <w:keepNext w:val="0"/>
              <w:keepLines w:val="0"/>
              <w:pageBreakBefore w:val="0"/>
              <w:widowControl w:val="0"/>
              <w:kinsoku/>
              <w:wordWrap/>
              <w:overflowPunct/>
              <w:topLinePunct w:val="0"/>
              <w:autoSpaceDE/>
              <w:autoSpaceDN/>
              <w:bidi w:val="0"/>
              <w:adjustRightInd/>
              <w:snapToGrid/>
              <w:spacing w:line="240" w:lineRule="exact"/>
              <w:ind w:left="64" w:leftChars="20" w:right="64" w:rightChars="20" w:firstLine="0"/>
              <w:jc w:val="both"/>
              <w:textAlignment w:val="auto"/>
              <w:rPr>
                <w:rFonts w:hint="eastAsia" w:ascii="仿宋_GB2312" w:hAnsi="仿宋_GB2312" w:eastAsia="仿宋_GB2312" w:cs="仿宋_GB2312"/>
                <w:color w:val="auto"/>
                <w:spacing w:val="0"/>
                <w:position w:val="0"/>
                <w:sz w:val="21"/>
                <w:szCs w:val="21"/>
              </w:rPr>
            </w:pPr>
            <w:r>
              <w:rPr>
                <w:rFonts w:hint="eastAsia" w:ascii="仿宋_GB2312" w:hAnsi="仿宋_GB2312" w:eastAsia="仿宋_GB2312" w:cs="仿宋_GB2312"/>
                <w:color w:val="auto"/>
                <w:spacing w:val="0"/>
                <w:position w:val="0"/>
                <w:sz w:val="21"/>
                <w:szCs w:val="21"/>
              </w:rPr>
              <w:t>职业卫生和放射卫生技术服务机构</w:t>
            </w:r>
          </w:p>
        </w:tc>
        <w:tc>
          <w:tcPr>
            <w:tcW w:w="2166" w:type="dxa"/>
            <w:vMerge w:val="restart"/>
            <w:tcBorders>
              <w:bottom w:val="nil"/>
            </w:tcBorders>
            <w:noWrap w:val="0"/>
            <w:vAlign w:val="center"/>
          </w:tcPr>
          <w:p w14:paraId="4EACABF3">
            <w:pPr>
              <w:pStyle w:val="12"/>
              <w:keepNext w:val="0"/>
              <w:keepLines w:val="0"/>
              <w:pageBreakBefore w:val="0"/>
              <w:widowControl w:val="0"/>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eastAsia" w:ascii="仿宋_GB2312" w:hAnsi="仿宋_GB2312" w:eastAsia="仿宋_GB2312" w:cs="仿宋_GB2312"/>
                <w:color w:val="auto"/>
                <w:spacing w:val="0"/>
                <w:position w:val="0"/>
                <w:sz w:val="21"/>
                <w:szCs w:val="21"/>
                <w:lang w:val="en-US" w:eastAsia="zh-CN"/>
              </w:rPr>
              <w:t>已</w:t>
            </w:r>
            <w:r>
              <w:rPr>
                <w:rFonts w:hint="eastAsia" w:ascii="仿宋_GB2312" w:hAnsi="仿宋_GB2312" w:eastAsia="仿宋_GB2312" w:cs="仿宋_GB2312"/>
                <w:color w:val="auto"/>
                <w:spacing w:val="0"/>
                <w:position w:val="0"/>
                <w:sz w:val="21"/>
                <w:szCs w:val="21"/>
              </w:rPr>
              <w:t>注册的职业卫生和放射卫生技术服务机构</w:t>
            </w:r>
            <w:r>
              <w:rPr>
                <w:rFonts w:hint="default" w:ascii="Times New Roman" w:hAnsi="Times New Roman" w:eastAsia="仿宋_GB2312" w:cs="Times New Roman"/>
                <w:color w:val="auto"/>
                <w:spacing w:val="0"/>
                <w:position w:val="0"/>
                <w:sz w:val="21"/>
                <w:szCs w:val="21"/>
              </w:rPr>
              <w:t>60%</w:t>
            </w:r>
            <w:r>
              <w:rPr>
                <w:rFonts w:hint="eastAsia" w:ascii="仿宋_GB2312" w:hAnsi="仿宋_GB2312" w:eastAsia="仿宋_GB2312" w:cs="仿宋_GB2312"/>
                <w:color w:val="auto"/>
                <w:spacing w:val="0"/>
                <w:position w:val="0"/>
                <w:sz w:val="21"/>
                <w:szCs w:val="21"/>
              </w:rPr>
              <w:t>开展监督检查</w:t>
            </w:r>
            <w:bookmarkStart w:id="0" w:name="_GoBack"/>
            <w:bookmarkEnd w:id="0"/>
          </w:p>
        </w:tc>
        <w:tc>
          <w:tcPr>
            <w:tcW w:w="1584" w:type="dxa"/>
            <w:noWrap w:val="0"/>
            <w:vAlign w:val="center"/>
          </w:tcPr>
          <w:p w14:paraId="7ACE9983">
            <w:pPr>
              <w:pStyle w:val="12"/>
              <w:keepNext w:val="0"/>
              <w:keepLines w:val="0"/>
              <w:pageBreakBefore w:val="0"/>
              <w:widowControl w:val="0"/>
              <w:tabs>
                <w:tab w:val="left" w:pos="1480"/>
              </w:tabs>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1</w:t>
            </w:r>
            <w:r>
              <w:rPr>
                <w:rFonts w:hint="eastAsia" w:ascii="仿宋_GB2312" w:hAnsi="仿宋_GB2312" w:eastAsia="仿宋_GB2312" w:cs="仿宋_GB2312"/>
                <w:color w:val="auto"/>
                <w:spacing w:val="0"/>
                <w:position w:val="0"/>
                <w:sz w:val="21"/>
                <w:szCs w:val="21"/>
              </w:rPr>
              <w:t>.资质证书</w:t>
            </w:r>
          </w:p>
        </w:tc>
        <w:tc>
          <w:tcPr>
            <w:tcW w:w="9391" w:type="dxa"/>
            <w:noWrap w:val="0"/>
            <w:vAlign w:val="center"/>
          </w:tcPr>
          <w:p w14:paraId="416AA2E3">
            <w:pPr>
              <w:pStyle w:val="12"/>
              <w:keepNext w:val="0"/>
              <w:keepLines w:val="0"/>
              <w:pageBreakBefore w:val="0"/>
              <w:widowControl w:val="0"/>
              <w:tabs>
                <w:tab w:val="left" w:pos="1470"/>
              </w:tabs>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1</w:t>
            </w:r>
            <w:r>
              <w:rPr>
                <w:rFonts w:hint="eastAsia" w:ascii="仿宋_GB2312" w:hAnsi="仿宋_GB2312" w:eastAsia="仿宋_GB2312" w:cs="仿宋_GB2312"/>
                <w:color w:val="auto"/>
                <w:spacing w:val="0"/>
                <w:position w:val="0"/>
                <w:sz w:val="21"/>
                <w:szCs w:val="21"/>
              </w:rPr>
              <w:t>.是否未取得职业卫生或放射卫生技术服务资质认可擅自从事职业卫生或放射卫生检测、评价技术服务；</w:t>
            </w:r>
          </w:p>
          <w:p w14:paraId="4B9B31DD">
            <w:pPr>
              <w:pStyle w:val="12"/>
              <w:keepNext w:val="0"/>
              <w:keepLines w:val="0"/>
              <w:pageBreakBefore w:val="0"/>
              <w:widowControl w:val="0"/>
              <w:tabs>
                <w:tab w:val="left" w:pos="1470"/>
              </w:tabs>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2</w:t>
            </w:r>
            <w:r>
              <w:rPr>
                <w:rFonts w:hint="eastAsia" w:ascii="仿宋_GB2312" w:hAnsi="仿宋_GB2312" w:eastAsia="仿宋_GB2312" w:cs="仿宋_GB2312"/>
                <w:color w:val="auto"/>
                <w:spacing w:val="0"/>
                <w:position w:val="0"/>
                <w:sz w:val="21"/>
                <w:szCs w:val="21"/>
              </w:rPr>
              <w:t>.是否有涂改、倒卖、出租、出借技术服务机构资质证书，或者以其他形式非法转让技术服务机构资质证书情形。</w:t>
            </w:r>
          </w:p>
        </w:tc>
      </w:tr>
      <w:tr w14:paraId="6D1E8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4" w:type="dxa"/>
            <w:left w:w="28" w:type="dxa"/>
            <w:bottom w:w="34" w:type="dxa"/>
            <w:right w:w="28" w:type="dxa"/>
          </w:tblCellMar>
        </w:tblPrEx>
        <w:trPr>
          <w:trHeight w:val="554" w:hRule="atLeast"/>
          <w:jc w:val="center"/>
        </w:trPr>
        <w:tc>
          <w:tcPr>
            <w:tcW w:w="1037" w:type="dxa"/>
            <w:vMerge w:val="continue"/>
            <w:tcBorders>
              <w:top w:val="nil"/>
              <w:bottom w:val="nil"/>
            </w:tcBorders>
            <w:noWrap w:val="0"/>
            <w:vAlign w:val="center"/>
          </w:tcPr>
          <w:p w14:paraId="51A9C4D1">
            <w:pPr>
              <w:keepNext w:val="0"/>
              <w:keepLines w:val="0"/>
              <w:pageBreakBefore w:val="0"/>
              <w:widowControl w:val="0"/>
              <w:kinsoku/>
              <w:wordWrap/>
              <w:overflowPunct/>
              <w:topLinePunct w:val="0"/>
              <w:autoSpaceDE/>
              <w:autoSpaceDN/>
              <w:bidi w:val="0"/>
              <w:adjustRightInd/>
              <w:snapToGrid/>
              <w:spacing w:line="240" w:lineRule="exact"/>
              <w:ind w:left="0" w:right="0" w:rightChars="0" w:firstLine="0"/>
              <w:textAlignment w:val="auto"/>
              <w:rPr>
                <w:rFonts w:hint="eastAsia" w:ascii="仿宋_GB2312" w:hAnsi="仿宋_GB2312" w:eastAsia="仿宋_GB2312" w:cs="仿宋_GB2312"/>
                <w:color w:val="auto"/>
                <w:spacing w:val="0"/>
                <w:position w:val="0"/>
                <w:sz w:val="21"/>
                <w:szCs w:val="21"/>
              </w:rPr>
            </w:pPr>
          </w:p>
        </w:tc>
        <w:tc>
          <w:tcPr>
            <w:tcW w:w="2166" w:type="dxa"/>
            <w:vMerge w:val="continue"/>
            <w:tcBorders>
              <w:top w:val="nil"/>
              <w:bottom w:val="nil"/>
            </w:tcBorders>
            <w:noWrap w:val="0"/>
            <w:vAlign w:val="center"/>
          </w:tcPr>
          <w:p w14:paraId="20EA9289">
            <w:pPr>
              <w:keepNext w:val="0"/>
              <w:keepLines w:val="0"/>
              <w:pageBreakBefore w:val="0"/>
              <w:widowControl w:val="0"/>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p>
        </w:tc>
        <w:tc>
          <w:tcPr>
            <w:tcW w:w="1584" w:type="dxa"/>
            <w:noWrap w:val="0"/>
            <w:vAlign w:val="center"/>
          </w:tcPr>
          <w:p w14:paraId="3B602001">
            <w:pPr>
              <w:pStyle w:val="12"/>
              <w:keepNext w:val="0"/>
              <w:keepLines w:val="0"/>
              <w:pageBreakBefore w:val="0"/>
              <w:widowControl w:val="0"/>
              <w:tabs>
                <w:tab w:val="left" w:pos="1480"/>
              </w:tabs>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2</w:t>
            </w:r>
            <w:r>
              <w:rPr>
                <w:rFonts w:hint="eastAsia" w:ascii="仿宋_GB2312" w:hAnsi="仿宋_GB2312" w:eastAsia="仿宋_GB2312" w:cs="仿宋_GB2312"/>
                <w:color w:val="auto"/>
                <w:spacing w:val="0"/>
                <w:position w:val="0"/>
                <w:sz w:val="21"/>
                <w:szCs w:val="21"/>
              </w:rPr>
              <w:t>.业务范围及出具证明</w:t>
            </w:r>
          </w:p>
        </w:tc>
        <w:tc>
          <w:tcPr>
            <w:tcW w:w="9391" w:type="dxa"/>
            <w:noWrap w:val="0"/>
            <w:vAlign w:val="center"/>
          </w:tcPr>
          <w:p w14:paraId="26D494E2">
            <w:pPr>
              <w:pStyle w:val="12"/>
              <w:keepNext w:val="0"/>
              <w:keepLines w:val="0"/>
              <w:pageBreakBefore w:val="0"/>
              <w:widowControl w:val="0"/>
              <w:tabs>
                <w:tab w:val="left" w:pos="1470"/>
              </w:tabs>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1</w:t>
            </w:r>
            <w:r>
              <w:rPr>
                <w:rFonts w:hint="eastAsia" w:ascii="仿宋_GB2312" w:hAnsi="仿宋_GB2312" w:eastAsia="仿宋_GB2312" w:cs="仿宋_GB2312"/>
                <w:color w:val="auto"/>
                <w:spacing w:val="0"/>
                <w:position w:val="0"/>
                <w:sz w:val="21"/>
                <w:szCs w:val="21"/>
              </w:rPr>
              <w:t>.是否超出资质认可范围从事职业卫生或放射卫生技术服务；</w:t>
            </w:r>
          </w:p>
          <w:p w14:paraId="597E7D12">
            <w:pPr>
              <w:pStyle w:val="12"/>
              <w:keepNext w:val="0"/>
              <w:keepLines w:val="0"/>
              <w:pageBreakBefore w:val="0"/>
              <w:widowControl w:val="0"/>
              <w:tabs>
                <w:tab w:val="left" w:pos="1470"/>
              </w:tabs>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2</w:t>
            </w:r>
            <w:r>
              <w:rPr>
                <w:rFonts w:hint="eastAsia" w:ascii="仿宋_GB2312" w:hAnsi="仿宋_GB2312" w:eastAsia="仿宋_GB2312" w:cs="仿宋_GB2312"/>
                <w:color w:val="auto"/>
                <w:spacing w:val="0"/>
                <w:position w:val="0"/>
                <w:sz w:val="21"/>
                <w:szCs w:val="21"/>
              </w:rPr>
              <w:t>.是否出具虚假的职业卫生或放射卫生技术报告或其他虚假证明文件。</w:t>
            </w:r>
          </w:p>
        </w:tc>
      </w:tr>
      <w:tr w14:paraId="2C77D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4" w:type="dxa"/>
            <w:left w:w="28" w:type="dxa"/>
            <w:bottom w:w="34" w:type="dxa"/>
            <w:right w:w="28" w:type="dxa"/>
          </w:tblCellMar>
        </w:tblPrEx>
        <w:trPr>
          <w:trHeight w:val="1968" w:hRule="atLeast"/>
          <w:jc w:val="center"/>
        </w:trPr>
        <w:tc>
          <w:tcPr>
            <w:tcW w:w="1037" w:type="dxa"/>
            <w:vMerge w:val="continue"/>
            <w:tcBorders>
              <w:top w:val="nil"/>
              <w:bottom w:val="nil"/>
            </w:tcBorders>
            <w:noWrap w:val="0"/>
            <w:vAlign w:val="center"/>
          </w:tcPr>
          <w:p w14:paraId="75C3F4B4">
            <w:pPr>
              <w:keepNext w:val="0"/>
              <w:keepLines w:val="0"/>
              <w:pageBreakBefore w:val="0"/>
              <w:widowControl w:val="0"/>
              <w:kinsoku/>
              <w:wordWrap/>
              <w:overflowPunct/>
              <w:topLinePunct w:val="0"/>
              <w:autoSpaceDE/>
              <w:autoSpaceDN/>
              <w:bidi w:val="0"/>
              <w:adjustRightInd/>
              <w:snapToGrid/>
              <w:spacing w:line="240" w:lineRule="exact"/>
              <w:ind w:left="0" w:right="0" w:rightChars="0" w:firstLine="0"/>
              <w:textAlignment w:val="auto"/>
              <w:rPr>
                <w:rFonts w:hint="eastAsia" w:ascii="仿宋_GB2312" w:hAnsi="仿宋_GB2312" w:eastAsia="仿宋_GB2312" w:cs="仿宋_GB2312"/>
                <w:color w:val="auto"/>
                <w:spacing w:val="0"/>
                <w:position w:val="0"/>
                <w:sz w:val="21"/>
                <w:szCs w:val="21"/>
              </w:rPr>
            </w:pPr>
          </w:p>
        </w:tc>
        <w:tc>
          <w:tcPr>
            <w:tcW w:w="2166" w:type="dxa"/>
            <w:vMerge w:val="continue"/>
            <w:tcBorders>
              <w:top w:val="nil"/>
              <w:bottom w:val="nil"/>
            </w:tcBorders>
            <w:noWrap w:val="0"/>
            <w:vAlign w:val="center"/>
          </w:tcPr>
          <w:p w14:paraId="4796A3BF">
            <w:pPr>
              <w:keepNext w:val="0"/>
              <w:keepLines w:val="0"/>
              <w:pageBreakBefore w:val="0"/>
              <w:widowControl w:val="0"/>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p>
        </w:tc>
        <w:tc>
          <w:tcPr>
            <w:tcW w:w="1584" w:type="dxa"/>
            <w:noWrap w:val="0"/>
            <w:vAlign w:val="center"/>
          </w:tcPr>
          <w:p w14:paraId="495D6FE9">
            <w:pPr>
              <w:pStyle w:val="12"/>
              <w:keepNext w:val="0"/>
              <w:keepLines w:val="0"/>
              <w:pageBreakBefore w:val="0"/>
              <w:widowControl w:val="0"/>
              <w:tabs>
                <w:tab w:val="left" w:pos="1480"/>
              </w:tabs>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3</w:t>
            </w:r>
            <w:r>
              <w:rPr>
                <w:rFonts w:hint="eastAsia" w:ascii="仿宋_GB2312" w:hAnsi="仿宋_GB2312" w:eastAsia="仿宋_GB2312" w:cs="仿宋_GB2312"/>
                <w:color w:val="auto"/>
                <w:spacing w:val="0"/>
                <w:position w:val="0"/>
                <w:sz w:val="21"/>
                <w:szCs w:val="21"/>
              </w:rPr>
              <w:t>.技术服务相关工作要求</w:t>
            </w:r>
          </w:p>
        </w:tc>
        <w:tc>
          <w:tcPr>
            <w:tcW w:w="9391" w:type="dxa"/>
            <w:noWrap w:val="0"/>
            <w:vAlign w:val="center"/>
          </w:tcPr>
          <w:p w14:paraId="47879AE1">
            <w:pPr>
              <w:pStyle w:val="12"/>
              <w:keepNext w:val="0"/>
              <w:keepLines w:val="0"/>
              <w:pageBreakBefore w:val="0"/>
              <w:widowControl w:val="0"/>
              <w:tabs>
                <w:tab w:val="left" w:pos="1470"/>
              </w:tabs>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1</w:t>
            </w:r>
            <w:r>
              <w:rPr>
                <w:rFonts w:hint="eastAsia" w:ascii="仿宋_GB2312" w:hAnsi="仿宋_GB2312" w:eastAsia="仿宋_GB2312" w:cs="仿宋_GB2312"/>
                <w:color w:val="auto"/>
                <w:spacing w:val="0"/>
                <w:position w:val="0"/>
                <w:sz w:val="21"/>
                <w:szCs w:val="21"/>
              </w:rPr>
              <w:t>.是否按照法律法规和标准规范的要求开展现场调查、职业病危害因素识别、现场采样、现场检测、样品管理、实验室分析、数据处理及应用、危害程度评价、防护措施及其效果评价、技术报告编制等职业卫生或放射卫生技术服务活动；</w:t>
            </w:r>
          </w:p>
          <w:p w14:paraId="4227FC2F">
            <w:pPr>
              <w:pStyle w:val="12"/>
              <w:keepNext w:val="0"/>
              <w:keepLines w:val="0"/>
              <w:pageBreakBefore w:val="0"/>
              <w:widowControl w:val="0"/>
              <w:tabs>
                <w:tab w:val="left" w:pos="1470"/>
              </w:tabs>
              <w:kinsoku/>
              <w:wordWrap/>
              <w:overflowPunct/>
              <w:topLinePunct w:val="0"/>
              <w:autoSpaceDE/>
              <w:autoSpaceDN/>
              <w:bidi w:val="0"/>
              <w:adjustRightInd/>
              <w:snapToGrid/>
              <w:spacing w:line="240" w:lineRule="exact"/>
              <w:ind w:left="64" w:leftChars="20" w:right="64" w:rightChars="20" w:firstLine="0"/>
              <w:jc w:val="both"/>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2</w:t>
            </w:r>
            <w:r>
              <w:rPr>
                <w:rFonts w:hint="eastAsia" w:ascii="仿宋_GB2312" w:hAnsi="仿宋_GB2312" w:eastAsia="仿宋_GB2312" w:cs="仿宋_GB2312"/>
                <w:color w:val="auto"/>
                <w:spacing w:val="0"/>
                <w:position w:val="0"/>
                <w:sz w:val="21"/>
                <w:szCs w:val="21"/>
              </w:rPr>
              <w:t>.是否存在具备自行检测条件而委托其他机构检测的情形，是否存在委托检测的机构不具备技术服务机构资质或相应检测能力的情形，是否存在委托其他机构实施样品现场采集和检测结果分析及应用等工作的情形；</w:t>
            </w:r>
          </w:p>
          <w:p w14:paraId="207B7DD5">
            <w:pPr>
              <w:pStyle w:val="12"/>
              <w:keepNext w:val="0"/>
              <w:keepLines w:val="0"/>
              <w:pageBreakBefore w:val="0"/>
              <w:widowControl w:val="0"/>
              <w:tabs>
                <w:tab w:val="left" w:pos="1470"/>
              </w:tabs>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3</w:t>
            </w:r>
            <w:r>
              <w:rPr>
                <w:rFonts w:hint="eastAsia" w:ascii="仿宋_GB2312" w:hAnsi="仿宋_GB2312" w:eastAsia="仿宋_GB2312" w:cs="仿宋_GB2312"/>
                <w:color w:val="auto"/>
                <w:spacing w:val="0"/>
                <w:position w:val="0"/>
                <w:sz w:val="21"/>
                <w:szCs w:val="21"/>
              </w:rPr>
              <w:t>.是否以书面形式与用人单位明确技术服务内容、范围以及双方的权利义务；</w:t>
            </w:r>
          </w:p>
          <w:p w14:paraId="7C21D48C">
            <w:pPr>
              <w:pStyle w:val="12"/>
              <w:keepNext w:val="0"/>
              <w:keepLines w:val="0"/>
              <w:pageBreakBefore w:val="0"/>
              <w:widowControl w:val="0"/>
              <w:tabs>
                <w:tab w:val="left" w:pos="1470"/>
              </w:tabs>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4</w:t>
            </w:r>
            <w:r>
              <w:rPr>
                <w:rFonts w:hint="eastAsia" w:ascii="仿宋_GB2312" w:hAnsi="仿宋_GB2312" w:eastAsia="仿宋_GB2312" w:cs="仿宋_GB2312"/>
                <w:color w:val="auto"/>
                <w:spacing w:val="0"/>
                <w:position w:val="0"/>
                <w:sz w:val="21"/>
                <w:szCs w:val="21"/>
              </w:rPr>
              <w:t>.是否转包职业卫生或放射卫生技术服务项目；</w:t>
            </w:r>
          </w:p>
          <w:p w14:paraId="454B4A93">
            <w:pPr>
              <w:pStyle w:val="12"/>
              <w:keepNext w:val="0"/>
              <w:keepLines w:val="0"/>
              <w:pageBreakBefore w:val="0"/>
              <w:widowControl w:val="0"/>
              <w:tabs>
                <w:tab w:val="left" w:pos="1470"/>
              </w:tabs>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5</w:t>
            </w:r>
            <w:r>
              <w:rPr>
                <w:rFonts w:hint="eastAsia" w:ascii="仿宋_GB2312" w:hAnsi="仿宋_GB2312" w:eastAsia="仿宋_GB2312" w:cs="仿宋_GB2312"/>
                <w:color w:val="auto"/>
                <w:spacing w:val="0"/>
                <w:position w:val="0"/>
                <w:sz w:val="21"/>
                <w:szCs w:val="21"/>
              </w:rPr>
              <w:t>.是否擅自更改、简化技术服务程序和相关内容；</w:t>
            </w:r>
          </w:p>
          <w:p w14:paraId="45B01F79">
            <w:pPr>
              <w:pStyle w:val="12"/>
              <w:keepNext w:val="0"/>
              <w:keepLines w:val="0"/>
              <w:pageBreakBefore w:val="0"/>
              <w:widowControl w:val="0"/>
              <w:tabs>
                <w:tab w:val="left" w:pos="1470"/>
              </w:tabs>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6</w:t>
            </w:r>
            <w:r>
              <w:rPr>
                <w:rFonts w:hint="eastAsia" w:ascii="仿宋_GB2312" w:hAnsi="仿宋_GB2312" w:eastAsia="仿宋_GB2312" w:cs="仿宋_GB2312"/>
                <w:color w:val="auto"/>
                <w:spacing w:val="0"/>
                <w:position w:val="0"/>
                <w:sz w:val="21"/>
                <w:szCs w:val="21"/>
              </w:rPr>
              <w:t>.是否按规定在网上公开职业卫生或放射卫生技术报告相关信息；</w:t>
            </w:r>
          </w:p>
          <w:p w14:paraId="6D3E071D">
            <w:pPr>
              <w:pStyle w:val="12"/>
              <w:keepNext w:val="0"/>
              <w:keepLines w:val="0"/>
              <w:pageBreakBefore w:val="0"/>
              <w:widowControl w:val="0"/>
              <w:tabs>
                <w:tab w:val="left" w:pos="1470"/>
              </w:tabs>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7</w:t>
            </w:r>
            <w:r>
              <w:rPr>
                <w:rFonts w:hint="eastAsia" w:ascii="仿宋_GB2312" w:hAnsi="仿宋_GB2312" w:eastAsia="仿宋_GB2312" w:cs="仿宋_GB2312"/>
                <w:color w:val="auto"/>
                <w:spacing w:val="0"/>
                <w:position w:val="0"/>
                <w:sz w:val="21"/>
                <w:szCs w:val="21"/>
              </w:rPr>
              <w:t>.是否按规定向卫生健康主管部门报送职业卫生或放射卫生技术服务相关信息。</w:t>
            </w:r>
          </w:p>
        </w:tc>
      </w:tr>
      <w:tr w14:paraId="4B3DE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4" w:type="dxa"/>
            <w:left w:w="28" w:type="dxa"/>
            <w:bottom w:w="34" w:type="dxa"/>
            <w:right w:w="28" w:type="dxa"/>
          </w:tblCellMar>
        </w:tblPrEx>
        <w:trPr>
          <w:trHeight w:val="100" w:hRule="atLeast"/>
          <w:jc w:val="center"/>
        </w:trPr>
        <w:tc>
          <w:tcPr>
            <w:tcW w:w="1037" w:type="dxa"/>
            <w:vMerge w:val="continue"/>
            <w:tcBorders>
              <w:top w:val="nil"/>
            </w:tcBorders>
            <w:noWrap w:val="0"/>
            <w:vAlign w:val="center"/>
          </w:tcPr>
          <w:p w14:paraId="391A5B51">
            <w:pPr>
              <w:keepNext w:val="0"/>
              <w:keepLines w:val="0"/>
              <w:pageBreakBefore w:val="0"/>
              <w:widowControl w:val="0"/>
              <w:kinsoku/>
              <w:wordWrap/>
              <w:overflowPunct/>
              <w:topLinePunct w:val="0"/>
              <w:autoSpaceDE/>
              <w:autoSpaceDN/>
              <w:bidi w:val="0"/>
              <w:adjustRightInd/>
              <w:snapToGrid/>
              <w:spacing w:line="240" w:lineRule="exact"/>
              <w:ind w:left="0" w:right="0" w:rightChars="0" w:firstLine="0"/>
              <w:textAlignment w:val="auto"/>
              <w:rPr>
                <w:rFonts w:hint="eastAsia" w:ascii="仿宋_GB2312" w:hAnsi="仿宋_GB2312" w:eastAsia="仿宋_GB2312" w:cs="仿宋_GB2312"/>
                <w:color w:val="auto"/>
                <w:spacing w:val="0"/>
                <w:position w:val="0"/>
                <w:sz w:val="21"/>
                <w:szCs w:val="21"/>
              </w:rPr>
            </w:pPr>
          </w:p>
        </w:tc>
        <w:tc>
          <w:tcPr>
            <w:tcW w:w="2166" w:type="dxa"/>
            <w:vMerge w:val="continue"/>
            <w:tcBorders>
              <w:top w:val="nil"/>
            </w:tcBorders>
            <w:noWrap w:val="0"/>
            <w:vAlign w:val="center"/>
          </w:tcPr>
          <w:p w14:paraId="0B76BFD7">
            <w:pPr>
              <w:keepNext w:val="0"/>
              <w:keepLines w:val="0"/>
              <w:pageBreakBefore w:val="0"/>
              <w:widowControl w:val="0"/>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p>
        </w:tc>
        <w:tc>
          <w:tcPr>
            <w:tcW w:w="1584" w:type="dxa"/>
            <w:noWrap w:val="0"/>
            <w:vAlign w:val="center"/>
          </w:tcPr>
          <w:p w14:paraId="5F74575D">
            <w:pPr>
              <w:pStyle w:val="12"/>
              <w:keepNext w:val="0"/>
              <w:keepLines w:val="0"/>
              <w:pageBreakBefore w:val="0"/>
              <w:widowControl w:val="0"/>
              <w:tabs>
                <w:tab w:val="left" w:pos="1480"/>
              </w:tabs>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4</w:t>
            </w:r>
            <w:r>
              <w:rPr>
                <w:rFonts w:hint="eastAsia" w:ascii="仿宋_GB2312" w:hAnsi="仿宋_GB2312" w:eastAsia="仿宋_GB2312" w:cs="仿宋_GB2312"/>
                <w:color w:val="auto"/>
                <w:spacing w:val="0"/>
                <w:position w:val="0"/>
                <w:sz w:val="21"/>
                <w:szCs w:val="21"/>
              </w:rPr>
              <w:t>.专业技术人员管理</w:t>
            </w:r>
          </w:p>
        </w:tc>
        <w:tc>
          <w:tcPr>
            <w:tcW w:w="9391" w:type="dxa"/>
            <w:noWrap w:val="0"/>
            <w:vAlign w:val="center"/>
          </w:tcPr>
          <w:p w14:paraId="6AFE52D7">
            <w:pPr>
              <w:pStyle w:val="12"/>
              <w:keepNext w:val="0"/>
              <w:keepLines w:val="0"/>
              <w:pageBreakBefore w:val="0"/>
              <w:widowControl w:val="0"/>
              <w:tabs>
                <w:tab w:val="left" w:pos="1470"/>
              </w:tabs>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1</w:t>
            </w:r>
            <w:r>
              <w:rPr>
                <w:rFonts w:hint="eastAsia" w:ascii="仿宋_GB2312" w:hAnsi="仿宋_GB2312" w:eastAsia="仿宋_GB2312" w:cs="仿宋_GB2312"/>
                <w:color w:val="auto"/>
                <w:spacing w:val="0"/>
                <w:position w:val="0"/>
                <w:sz w:val="21"/>
                <w:szCs w:val="21"/>
              </w:rPr>
              <w:t>.是否使用非本机构专业技术人员从事职业卫生或放射卫生技术服务活动；</w:t>
            </w:r>
          </w:p>
          <w:p w14:paraId="52DCAA60">
            <w:pPr>
              <w:pStyle w:val="12"/>
              <w:keepNext w:val="0"/>
              <w:keepLines w:val="0"/>
              <w:pageBreakBefore w:val="0"/>
              <w:widowControl w:val="0"/>
              <w:tabs>
                <w:tab w:val="left" w:pos="1470"/>
              </w:tabs>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2</w:t>
            </w:r>
            <w:r>
              <w:rPr>
                <w:rFonts w:hint="eastAsia" w:ascii="仿宋_GB2312" w:hAnsi="仿宋_GB2312" w:eastAsia="仿宋_GB2312" w:cs="仿宋_GB2312"/>
                <w:color w:val="auto"/>
                <w:spacing w:val="0"/>
                <w:position w:val="0"/>
                <w:sz w:val="21"/>
                <w:szCs w:val="21"/>
              </w:rPr>
              <w:t>.是否安排未达到技术评审考核评估要求的专业技术人员参与职业卫生服务；</w:t>
            </w:r>
          </w:p>
          <w:p w14:paraId="5C89DCCB">
            <w:pPr>
              <w:pStyle w:val="12"/>
              <w:keepNext w:val="0"/>
              <w:keepLines w:val="0"/>
              <w:pageBreakBefore w:val="0"/>
              <w:widowControl w:val="0"/>
              <w:tabs>
                <w:tab w:val="left" w:pos="1470"/>
              </w:tabs>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3</w:t>
            </w:r>
            <w:r>
              <w:rPr>
                <w:rFonts w:hint="eastAsia" w:ascii="仿宋_GB2312" w:hAnsi="仿宋_GB2312" w:eastAsia="仿宋_GB2312" w:cs="仿宋_GB2312"/>
                <w:color w:val="auto"/>
                <w:spacing w:val="0"/>
                <w:position w:val="0"/>
                <w:sz w:val="21"/>
                <w:szCs w:val="21"/>
              </w:rPr>
              <w:t>.是否在职业卫生或放射卫生技术服务报告或者有关原始记录上代替他人签字；</w:t>
            </w:r>
          </w:p>
          <w:p w14:paraId="51E4436C">
            <w:pPr>
              <w:pStyle w:val="12"/>
              <w:keepNext w:val="0"/>
              <w:keepLines w:val="0"/>
              <w:pageBreakBefore w:val="0"/>
              <w:widowControl w:val="0"/>
              <w:tabs>
                <w:tab w:val="left" w:pos="1470"/>
              </w:tabs>
              <w:kinsoku/>
              <w:wordWrap/>
              <w:overflowPunct/>
              <w:topLinePunct w:val="0"/>
              <w:autoSpaceDE/>
              <w:autoSpaceDN/>
              <w:bidi w:val="0"/>
              <w:adjustRightInd/>
              <w:snapToGrid/>
              <w:spacing w:line="240" w:lineRule="exact"/>
              <w:ind w:left="64" w:leftChars="20" w:right="64" w:rightChars="20" w:firstLine="0"/>
              <w:textAlignment w:val="auto"/>
              <w:rPr>
                <w:rFonts w:hint="eastAsia" w:ascii="仿宋_GB2312" w:hAnsi="仿宋_GB2312" w:eastAsia="仿宋_GB2312" w:cs="仿宋_GB2312"/>
                <w:color w:val="auto"/>
                <w:spacing w:val="0"/>
                <w:position w:val="0"/>
                <w:sz w:val="21"/>
                <w:szCs w:val="21"/>
              </w:rPr>
            </w:pPr>
            <w:r>
              <w:rPr>
                <w:rFonts w:hint="default" w:ascii="Times New Roman" w:hAnsi="Times New Roman" w:eastAsia="仿宋_GB2312" w:cs="Times New Roman"/>
                <w:color w:val="auto"/>
                <w:spacing w:val="0"/>
                <w:position w:val="0"/>
                <w:sz w:val="21"/>
                <w:szCs w:val="21"/>
              </w:rPr>
              <w:t>4</w:t>
            </w:r>
            <w:r>
              <w:rPr>
                <w:rFonts w:hint="eastAsia" w:ascii="仿宋_GB2312" w:hAnsi="仿宋_GB2312" w:eastAsia="仿宋_GB2312" w:cs="仿宋_GB2312"/>
                <w:color w:val="auto"/>
                <w:spacing w:val="0"/>
                <w:position w:val="0"/>
                <w:sz w:val="21"/>
                <w:szCs w:val="21"/>
              </w:rPr>
              <w:t>.是否未参与相应技术服务事项而在技术报告或者有关原始记录上签字。</w:t>
            </w:r>
          </w:p>
        </w:tc>
      </w:tr>
    </w:tbl>
    <w:p w14:paraId="42255B98">
      <w:pPr>
        <w:keepNext w:val="0"/>
        <w:keepLines w:val="0"/>
        <w:pageBreakBefore w:val="0"/>
        <w:widowControl w:val="0"/>
        <w:topLinePunct w:val="0"/>
        <w:bidi w:val="0"/>
        <w:adjustRightInd/>
        <w:snapToGrid/>
        <w:spacing w:before="101" w:line="228" w:lineRule="auto"/>
        <w:ind w:left="141"/>
        <w:rPr>
          <w:rFonts w:ascii="Times New Roman" w:hAnsi="Times New Roman" w:eastAsia="Times New Roman" w:cs="Times New Roman"/>
          <w:color w:val="auto"/>
          <w:sz w:val="31"/>
          <w:szCs w:val="31"/>
        </w:rPr>
      </w:pPr>
      <w:r>
        <w:rPr>
          <w:rFonts w:ascii="黑体" w:hAnsi="黑体" w:eastAsia="黑体" w:cs="黑体"/>
          <w:color w:val="auto"/>
          <w:spacing w:val="-4"/>
          <w:sz w:val="31"/>
          <w:szCs w:val="31"/>
        </w:rPr>
        <w:br w:type="page"/>
      </w:r>
      <w:r>
        <w:rPr>
          <w:rFonts w:ascii="黑体" w:hAnsi="黑体" w:eastAsia="黑体" w:cs="黑体"/>
          <w:color w:val="auto"/>
          <w:spacing w:val="-4"/>
          <w:sz w:val="31"/>
          <w:szCs w:val="31"/>
        </w:rPr>
        <w:t>附表</w:t>
      </w:r>
      <w:r>
        <w:rPr>
          <w:rFonts w:hint="default" w:ascii="Times New Roman" w:hAnsi="Times New Roman" w:eastAsia="Times New Roman" w:cs="Times New Roman"/>
          <w:color w:val="auto"/>
          <w:spacing w:val="-4"/>
          <w:sz w:val="31"/>
          <w:szCs w:val="31"/>
        </w:rPr>
        <w:t>4</w:t>
      </w:r>
    </w:p>
    <w:p w14:paraId="5CB952EA">
      <w:pPr>
        <w:keepNext w:val="0"/>
        <w:keepLines w:val="0"/>
        <w:pageBreakBefore w:val="0"/>
        <w:widowControl w:val="0"/>
        <w:topLinePunct w:val="0"/>
        <w:bidi w:val="0"/>
        <w:adjustRightInd/>
        <w:snapToGrid/>
        <w:spacing w:before="201" w:line="593" w:lineRule="exact"/>
        <w:ind w:left="689"/>
        <w:rPr>
          <w:rFonts w:hint="eastAsia" w:ascii="方正小标宋简体" w:hAnsi="方正小标宋简体" w:eastAsia="方正小标宋简体" w:cs="方正小标宋简体"/>
          <w:b w:val="0"/>
          <w:bCs w:val="0"/>
          <w:color w:val="auto"/>
          <w:sz w:val="44"/>
          <w:szCs w:val="44"/>
        </w:rPr>
      </w:pPr>
      <w:r>
        <w:rPr>
          <w:rFonts w:hint="default" w:ascii="Times New Roman" w:hAnsi="Times New Roman" w:eastAsia="方正小标宋简体" w:cs="Times New Roman"/>
          <w:b w:val="0"/>
          <w:bCs w:val="0"/>
          <w:color w:val="auto"/>
          <w:spacing w:val="5"/>
          <w:position w:val="2"/>
          <w:sz w:val="44"/>
          <w:szCs w:val="44"/>
        </w:rPr>
        <w:t>2025</w:t>
      </w:r>
      <w:r>
        <w:rPr>
          <w:rFonts w:hint="eastAsia" w:ascii="方正小标宋简体" w:hAnsi="方正小标宋简体" w:eastAsia="方正小标宋简体" w:cs="方正小标宋简体"/>
          <w:b w:val="0"/>
          <w:bCs w:val="0"/>
          <w:color w:val="auto"/>
          <w:spacing w:val="5"/>
          <w:position w:val="2"/>
          <w:sz w:val="44"/>
          <w:szCs w:val="44"/>
        </w:rPr>
        <w:t>年职业卫生和放射卫生技术服务机构国家随机监督抽查汇</w:t>
      </w:r>
      <w:r>
        <w:rPr>
          <w:rFonts w:hint="eastAsia" w:ascii="方正小标宋简体" w:hAnsi="方正小标宋简体" w:eastAsia="方正小标宋简体" w:cs="方正小标宋简体"/>
          <w:b w:val="0"/>
          <w:bCs w:val="0"/>
          <w:color w:val="auto"/>
          <w:spacing w:val="4"/>
          <w:position w:val="2"/>
          <w:sz w:val="44"/>
          <w:szCs w:val="44"/>
        </w:rPr>
        <w:t>总表</w:t>
      </w:r>
    </w:p>
    <w:p w14:paraId="07E1E29B">
      <w:pPr>
        <w:keepNext w:val="0"/>
        <w:keepLines w:val="0"/>
        <w:pageBreakBefore w:val="0"/>
        <w:widowControl w:val="0"/>
        <w:topLinePunct w:val="0"/>
        <w:bidi w:val="0"/>
        <w:adjustRightInd/>
        <w:snapToGrid/>
        <w:spacing w:line="116" w:lineRule="exact"/>
        <w:rPr>
          <w:color w:val="auto"/>
        </w:rPr>
      </w:pPr>
    </w:p>
    <w:tbl>
      <w:tblPr>
        <w:tblStyle w:val="13"/>
        <w:tblW w:w="144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2"/>
        <w:gridCol w:w="557"/>
        <w:gridCol w:w="557"/>
        <w:gridCol w:w="707"/>
        <w:gridCol w:w="1032"/>
        <w:gridCol w:w="1840"/>
        <w:gridCol w:w="1277"/>
        <w:gridCol w:w="1058"/>
        <w:gridCol w:w="1255"/>
        <w:gridCol w:w="1433"/>
        <w:gridCol w:w="994"/>
        <w:gridCol w:w="876"/>
        <w:gridCol w:w="767"/>
        <w:gridCol w:w="1009"/>
      </w:tblGrid>
      <w:tr w14:paraId="7A633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jc w:val="center"/>
        </w:trPr>
        <w:tc>
          <w:tcPr>
            <w:tcW w:w="1092" w:type="dxa"/>
            <w:vMerge w:val="restart"/>
            <w:tcBorders>
              <w:bottom w:val="nil"/>
            </w:tcBorders>
            <w:noWrap w:val="0"/>
            <w:vAlign w:val="center"/>
          </w:tcPr>
          <w:p w14:paraId="240097C4">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5"/>
                <w:sz w:val="21"/>
                <w:szCs w:val="21"/>
              </w:rPr>
              <w:t>监督检查</w:t>
            </w:r>
            <w:r>
              <w:rPr>
                <w:rFonts w:hint="eastAsia" w:ascii="仿宋_GB2312" w:hAnsi="仿宋_GB2312" w:eastAsia="仿宋_GB2312" w:cs="仿宋_GB2312"/>
                <w:color w:val="auto"/>
                <w:spacing w:val="2"/>
                <w:sz w:val="21"/>
                <w:szCs w:val="21"/>
              </w:rPr>
              <w:t>对象</w:t>
            </w:r>
          </w:p>
        </w:tc>
        <w:tc>
          <w:tcPr>
            <w:tcW w:w="557" w:type="dxa"/>
            <w:vMerge w:val="restart"/>
            <w:tcBorders>
              <w:bottom w:val="nil"/>
            </w:tcBorders>
            <w:noWrap w:val="0"/>
            <w:textDirection w:val="tbRlV"/>
            <w:vAlign w:val="center"/>
          </w:tcPr>
          <w:p w14:paraId="48C20070">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sz w:val="21"/>
                <w:szCs w:val="21"/>
              </w:rPr>
              <w:t>辖</w:t>
            </w:r>
            <w:r>
              <w:rPr>
                <w:rFonts w:hint="eastAsia" w:ascii="仿宋_GB2312" w:hAnsi="仿宋_GB2312" w:eastAsia="仿宋_GB2312" w:cs="仿宋_GB2312"/>
                <w:color w:val="auto"/>
                <w:spacing w:val="7"/>
                <w:position w:val="1"/>
                <w:sz w:val="21"/>
                <w:szCs w:val="21"/>
              </w:rPr>
              <w:t>区</w:t>
            </w:r>
            <w:r>
              <w:rPr>
                <w:rFonts w:hint="eastAsia" w:ascii="仿宋_GB2312" w:hAnsi="仿宋_GB2312" w:eastAsia="仿宋_GB2312" w:cs="仿宋_GB2312"/>
                <w:color w:val="auto"/>
                <w:spacing w:val="7"/>
                <w:sz w:val="21"/>
                <w:szCs w:val="21"/>
              </w:rPr>
              <w:t>单位数</w:t>
            </w:r>
          </w:p>
        </w:tc>
        <w:tc>
          <w:tcPr>
            <w:tcW w:w="557" w:type="dxa"/>
            <w:vMerge w:val="restart"/>
            <w:tcBorders>
              <w:bottom w:val="nil"/>
            </w:tcBorders>
            <w:noWrap w:val="0"/>
            <w:textDirection w:val="tbRlV"/>
            <w:vAlign w:val="center"/>
          </w:tcPr>
          <w:p w14:paraId="059A3657">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sz w:val="21"/>
                <w:szCs w:val="21"/>
              </w:rPr>
              <w:t>抽查单位数</w:t>
            </w:r>
          </w:p>
        </w:tc>
        <w:tc>
          <w:tcPr>
            <w:tcW w:w="707" w:type="dxa"/>
            <w:vMerge w:val="restart"/>
            <w:tcBorders>
              <w:bottom w:val="nil"/>
            </w:tcBorders>
            <w:noWrap w:val="0"/>
            <w:vAlign w:val="center"/>
          </w:tcPr>
          <w:p w14:paraId="1D2AB7F7">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不合</w:t>
            </w:r>
            <w:r>
              <w:rPr>
                <w:rFonts w:hint="eastAsia" w:ascii="仿宋_GB2312" w:hAnsi="仿宋_GB2312" w:eastAsia="仿宋_GB2312" w:cs="仿宋_GB2312"/>
                <w:color w:val="auto"/>
                <w:spacing w:val="6"/>
                <w:sz w:val="21"/>
                <w:szCs w:val="21"/>
              </w:rPr>
              <w:t>格单位数</w:t>
            </w:r>
          </w:p>
        </w:tc>
        <w:tc>
          <w:tcPr>
            <w:tcW w:w="7895" w:type="dxa"/>
            <w:gridSpan w:val="6"/>
            <w:noWrap w:val="0"/>
            <w:vAlign w:val="center"/>
          </w:tcPr>
          <w:p w14:paraId="297455EF">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sz w:val="21"/>
                <w:szCs w:val="21"/>
              </w:rPr>
              <w:t>不合格情况</w:t>
            </w:r>
          </w:p>
        </w:tc>
        <w:tc>
          <w:tcPr>
            <w:tcW w:w="3646" w:type="dxa"/>
            <w:gridSpan w:val="4"/>
            <w:noWrap w:val="0"/>
            <w:vAlign w:val="center"/>
          </w:tcPr>
          <w:p w14:paraId="332334F6">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8"/>
                <w:sz w:val="21"/>
                <w:szCs w:val="21"/>
              </w:rPr>
              <w:t>行政处罚情况</w:t>
            </w:r>
          </w:p>
        </w:tc>
      </w:tr>
      <w:tr w14:paraId="0E429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jc w:val="center"/>
        </w:trPr>
        <w:tc>
          <w:tcPr>
            <w:tcW w:w="1092" w:type="dxa"/>
            <w:vMerge w:val="continue"/>
            <w:tcBorders>
              <w:top w:val="nil"/>
              <w:bottom w:val="nil"/>
            </w:tcBorders>
            <w:noWrap w:val="0"/>
            <w:vAlign w:val="center"/>
          </w:tcPr>
          <w:p w14:paraId="18D4B1C1">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557" w:type="dxa"/>
            <w:vMerge w:val="continue"/>
            <w:tcBorders>
              <w:top w:val="nil"/>
              <w:bottom w:val="nil"/>
            </w:tcBorders>
            <w:noWrap w:val="0"/>
            <w:textDirection w:val="tbRlV"/>
            <w:vAlign w:val="center"/>
          </w:tcPr>
          <w:p w14:paraId="500BDA06">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557" w:type="dxa"/>
            <w:vMerge w:val="continue"/>
            <w:tcBorders>
              <w:top w:val="nil"/>
              <w:bottom w:val="nil"/>
            </w:tcBorders>
            <w:noWrap w:val="0"/>
            <w:textDirection w:val="tbRlV"/>
            <w:vAlign w:val="center"/>
          </w:tcPr>
          <w:p w14:paraId="0F444791">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707" w:type="dxa"/>
            <w:vMerge w:val="continue"/>
            <w:tcBorders>
              <w:top w:val="nil"/>
              <w:bottom w:val="nil"/>
            </w:tcBorders>
            <w:noWrap w:val="0"/>
            <w:vAlign w:val="center"/>
          </w:tcPr>
          <w:p w14:paraId="60B87D54">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2872" w:type="dxa"/>
            <w:gridSpan w:val="2"/>
            <w:noWrap w:val="0"/>
            <w:vAlign w:val="center"/>
          </w:tcPr>
          <w:p w14:paraId="1EE76E37">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5"/>
                <w:sz w:val="21"/>
                <w:szCs w:val="21"/>
              </w:rPr>
              <w:t>资质证书</w:t>
            </w:r>
          </w:p>
        </w:tc>
        <w:tc>
          <w:tcPr>
            <w:tcW w:w="5023" w:type="dxa"/>
            <w:gridSpan w:val="4"/>
            <w:noWrap w:val="0"/>
            <w:vAlign w:val="center"/>
          </w:tcPr>
          <w:p w14:paraId="7B4DD9E2">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8"/>
                <w:sz w:val="21"/>
                <w:szCs w:val="21"/>
              </w:rPr>
              <w:t>技术服务规范性</w:t>
            </w:r>
          </w:p>
        </w:tc>
        <w:tc>
          <w:tcPr>
            <w:tcW w:w="994" w:type="dxa"/>
            <w:noWrap w:val="0"/>
            <w:vAlign w:val="center"/>
          </w:tcPr>
          <w:p w14:paraId="523E455D">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6"/>
                <w:sz w:val="21"/>
                <w:szCs w:val="21"/>
              </w:rPr>
              <w:t>案件</w:t>
            </w:r>
            <w:r>
              <w:rPr>
                <w:rFonts w:hint="eastAsia" w:ascii="仿宋_GB2312" w:hAnsi="仿宋_GB2312" w:eastAsia="仿宋_GB2312" w:cs="仿宋_GB2312"/>
                <w:color w:val="auto"/>
                <w:spacing w:val="6"/>
                <w:sz w:val="21"/>
                <w:szCs w:val="21"/>
              </w:rPr>
              <w:br w:type="textWrapping"/>
            </w:r>
            <w:r>
              <w:rPr>
                <w:rFonts w:hint="eastAsia" w:ascii="仿宋_GB2312" w:hAnsi="仿宋_GB2312" w:eastAsia="仿宋_GB2312" w:cs="仿宋_GB2312"/>
                <w:color w:val="auto"/>
                <w:spacing w:val="6"/>
                <w:sz w:val="21"/>
                <w:szCs w:val="21"/>
              </w:rPr>
              <w:t>查处</w:t>
            </w:r>
            <w:r>
              <w:rPr>
                <w:rFonts w:hint="eastAsia" w:ascii="仿宋_GB2312" w:hAnsi="仿宋_GB2312" w:eastAsia="仿宋_GB2312" w:cs="仿宋_GB2312"/>
                <w:color w:val="auto"/>
                <w:sz w:val="21"/>
                <w:szCs w:val="21"/>
              </w:rPr>
              <w:t>数</w:t>
            </w:r>
          </w:p>
        </w:tc>
        <w:tc>
          <w:tcPr>
            <w:tcW w:w="876" w:type="dxa"/>
            <w:noWrap w:val="0"/>
            <w:vAlign w:val="center"/>
          </w:tcPr>
          <w:p w14:paraId="367D1BEE">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5"/>
                <w:sz w:val="21"/>
                <w:szCs w:val="21"/>
              </w:rPr>
              <w:t>警告</w:t>
            </w:r>
            <w:r>
              <w:rPr>
                <w:rFonts w:hint="eastAsia" w:ascii="仿宋_GB2312" w:hAnsi="仿宋_GB2312" w:eastAsia="仿宋_GB2312" w:cs="仿宋_GB2312"/>
                <w:color w:val="auto"/>
                <w:spacing w:val="5"/>
                <w:sz w:val="21"/>
                <w:szCs w:val="21"/>
              </w:rPr>
              <w:br w:type="textWrapping"/>
            </w:r>
            <w:r>
              <w:rPr>
                <w:rFonts w:hint="eastAsia" w:ascii="仿宋_GB2312" w:hAnsi="仿宋_GB2312" w:eastAsia="仿宋_GB2312" w:cs="仿宋_GB2312"/>
                <w:color w:val="auto"/>
                <w:spacing w:val="5"/>
                <w:sz w:val="21"/>
                <w:szCs w:val="21"/>
              </w:rPr>
              <w:t>单位数</w:t>
            </w:r>
          </w:p>
        </w:tc>
        <w:tc>
          <w:tcPr>
            <w:tcW w:w="767" w:type="dxa"/>
            <w:noWrap w:val="0"/>
            <w:vAlign w:val="center"/>
          </w:tcPr>
          <w:p w14:paraId="599C5C11">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罚款</w:t>
            </w:r>
            <w:r>
              <w:rPr>
                <w:rFonts w:hint="eastAsia" w:ascii="仿宋_GB2312" w:hAnsi="仿宋_GB2312" w:eastAsia="仿宋_GB2312" w:cs="仿宋_GB2312"/>
                <w:color w:val="auto"/>
                <w:spacing w:val="-1"/>
                <w:sz w:val="21"/>
                <w:szCs w:val="21"/>
              </w:rPr>
              <w:br w:type="textWrapping"/>
            </w:r>
            <w:r>
              <w:rPr>
                <w:rFonts w:hint="eastAsia" w:ascii="仿宋_GB2312" w:hAnsi="仿宋_GB2312" w:eastAsia="仿宋_GB2312" w:cs="仿宋_GB2312"/>
                <w:color w:val="auto"/>
                <w:spacing w:val="-5"/>
                <w:sz w:val="21"/>
                <w:szCs w:val="21"/>
              </w:rPr>
              <w:t>（万元）</w:t>
            </w:r>
          </w:p>
        </w:tc>
        <w:tc>
          <w:tcPr>
            <w:tcW w:w="1009" w:type="dxa"/>
            <w:noWrap w:val="0"/>
            <w:vAlign w:val="center"/>
          </w:tcPr>
          <w:p w14:paraId="387C6F14">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pacing w:val="6"/>
                <w:sz w:val="21"/>
                <w:szCs w:val="21"/>
              </w:rPr>
            </w:pPr>
            <w:r>
              <w:rPr>
                <w:rFonts w:hint="eastAsia" w:ascii="仿宋_GB2312" w:hAnsi="仿宋_GB2312" w:eastAsia="仿宋_GB2312" w:cs="仿宋_GB2312"/>
                <w:color w:val="auto"/>
                <w:sz w:val="21"/>
                <w:szCs w:val="21"/>
              </w:rPr>
              <w:t>没收</w:t>
            </w:r>
            <w:r>
              <w:rPr>
                <w:rFonts w:hint="eastAsia" w:ascii="仿宋_GB2312" w:hAnsi="仿宋_GB2312" w:eastAsia="仿宋_GB2312" w:cs="仿宋_GB2312"/>
                <w:color w:val="auto"/>
                <w:spacing w:val="6"/>
                <w:sz w:val="21"/>
                <w:szCs w:val="21"/>
              </w:rPr>
              <w:t>违法所得</w:t>
            </w:r>
          </w:p>
          <w:p w14:paraId="6F3CCCE6">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8"/>
                <w:sz w:val="21"/>
                <w:szCs w:val="21"/>
              </w:rPr>
              <w:t>（万</w:t>
            </w:r>
            <w:r>
              <w:rPr>
                <w:rFonts w:hint="eastAsia" w:ascii="仿宋_GB2312" w:hAnsi="仿宋_GB2312" w:eastAsia="仿宋_GB2312" w:cs="仿宋_GB2312"/>
                <w:color w:val="auto"/>
                <w:spacing w:val="4"/>
                <w:sz w:val="21"/>
                <w:szCs w:val="21"/>
              </w:rPr>
              <w:t>元）</w:t>
            </w:r>
          </w:p>
        </w:tc>
      </w:tr>
      <w:tr w14:paraId="390D9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1092" w:type="dxa"/>
            <w:vMerge w:val="continue"/>
            <w:tcBorders>
              <w:top w:val="nil"/>
            </w:tcBorders>
            <w:noWrap w:val="0"/>
            <w:vAlign w:val="center"/>
          </w:tcPr>
          <w:p w14:paraId="02E8E003">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557" w:type="dxa"/>
            <w:vMerge w:val="continue"/>
            <w:tcBorders>
              <w:top w:val="nil"/>
            </w:tcBorders>
            <w:noWrap w:val="0"/>
            <w:textDirection w:val="tbRlV"/>
            <w:vAlign w:val="center"/>
          </w:tcPr>
          <w:p w14:paraId="70D7D36D">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557" w:type="dxa"/>
            <w:vMerge w:val="continue"/>
            <w:tcBorders>
              <w:top w:val="nil"/>
            </w:tcBorders>
            <w:noWrap w:val="0"/>
            <w:textDirection w:val="tbRlV"/>
            <w:vAlign w:val="center"/>
          </w:tcPr>
          <w:p w14:paraId="733CC522">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707" w:type="dxa"/>
            <w:vMerge w:val="continue"/>
            <w:tcBorders>
              <w:top w:val="nil"/>
            </w:tcBorders>
            <w:noWrap w:val="0"/>
            <w:vAlign w:val="center"/>
          </w:tcPr>
          <w:p w14:paraId="1656FE74">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032" w:type="dxa"/>
            <w:noWrap w:val="0"/>
            <w:vAlign w:val="center"/>
          </w:tcPr>
          <w:p w14:paraId="4EE36B78">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无资质擅自从事检测、评价服务单位数</w:t>
            </w:r>
          </w:p>
        </w:tc>
        <w:tc>
          <w:tcPr>
            <w:tcW w:w="1840" w:type="dxa"/>
            <w:noWrap w:val="0"/>
            <w:vAlign w:val="center"/>
          </w:tcPr>
          <w:p w14:paraId="1F584733">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pacing w:val="0"/>
                <w:sz w:val="21"/>
                <w:szCs w:val="21"/>
              </w:rPr>
            </w:pPr>
            <w:r>
              <w:rPr>
                <w:rFonts w:hint="eastAsia" w:ascii="仿宋_GB2312" w:hAnsi="仿宋_GB2312" w:eastAsia="仿宋_GB2312" w:cs="仿宋_GB2312"/>
                <w:color w:val="auto"/>
                <w:spacing w:val="0"/>
                <w:sz w:val="21"/>
                <w:szCs w:val="21"/>
              </w:rPr>
              <w:t>涂改、倒卖、出租、出借或其他形式非法转让资质证书单位数</w:t>
            </w:r>
          </w:p>
        </w:tc>
        <w:tc>
          <w:tcPr>
            <w:tcW w:w="1277" w:type="dxa"/>
            <w:noWrap w:val="0"/>
            <w:vAlign w:val="center"/>
          </w:tcPr>
          <w:p w14:paraId="31ED4B9C">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8"/>
                <w:sz w:val="21"/>
                <w:szCs w:val="21"/>
              </w:rPr>
              <w:t>超出资质认可</w:t>
            </w:r>
            <w:r>
              <w:rPr>
                <w:rFonts w:hint="eastAsia" w:ascii="仿宋_GB2312" w:hAnsi="仿宋_GB2312" w:eastAsia="仿宋_GB2312" w:cs="仿宋_GB2312"/>
                <w:color w:val="auto"/>
                <w:spacing w:val="5"/>
                <w:sz w:val="21"/>
                <w:szCs w:val="21"/>
              </w:rPr>
              <w:t>范围从事技术</w:t>
            </w:r>
            <w:r>
              <w:rPr>
                <w:rFonts w:hint="eastAsia" w:ascii="仿宋_GB2312" w:hAnsi="仿宋_GB2312" w:eastAsia="仿宋_GB2312" w:cs="仿宋_GB2312"/>
                <w:color w:val="auto"/>
                <w:spacing w:val="7"/>
                <w:sz w:val="21"/>
                <w:szCs w:val="21"/>
              </w:rPr>
              <w:t>服务单位数</w:t>
            </w:r>
          </w:p>
        </w:tc>
        <w:tc>
          <w:tcPr>
            <w:tcW w:w="1058" w:type="dxa"/>
            <w:noWrap w:val="0"/>
            <w:vAlign w:val="center"/>
          </w:tcPr>
          <w:p w14:paraId="28830828">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出具虚假</w:t>
            </w:r>
            <w:r>
              <w:rPr>
                <w:rFonts w:hint="eastAsia" w:ascii="仿宋_GB2312" w:hAnsi="仿宋_GB2312" w:eastAsia="仿宋_GB2312" w:cs="仿宋_GB2312"/>
                <w:color w:val="auto"/>
                <w:spacing w:val="5"/>
                <w:sz w:val="21"/>
                <w:szCs w:val="21"/>
              </w:rPr>
              <w:t>证明文件单位数</w:t>
            </w:r>
          </w:p>
        </w:tc>
        <w:tc>
          <w:tcPr>
            <w:tcW w:w="1255" w:type="dxa"/>
            <w:noWrap w:val="0"/>
            <w:vAlign w:val="center"/>
          </w:tcPr>
          <w:p w14:paraId="3B98C55D">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sz w:val="21"/>
                <w:szCs w:val="21"/>
              </w:rPr>
              <w:t>不符合技术服务相关工作要求单位</w:t>
            </w:r>
            <w:r>
              <w:rPr>
                <w:rFonts w:hint="eastAsia" w:ascii="仿宋_GB2312" w:hAnsi="仿宋_GB2312" w:eastAsia="仿宋_GB2312" w:cs="仿宋_GB2312"/>
                <w:color w:val="auto"/>
                <w:sz w:val="21"/>
                <w:szCs w:val="21"/>
              </w:rPr>
              <w:t>数</w:t>
            </w:r>
          </w:p>
        </w:tc>
        <w:tc>
          <w:tcPr>
            <w:tcW w:w="1433" w:type="dxa"/>
            <w:noWrap w:val="0"/>
            <w:vAlign w:val="center"/>
          </w:tcPr>
          <w:p w14:paraId="68710486">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sz w:val="21"/>
                <w:szCs w:val="21"/>
              </w:rPr>
              <w:t>不符合专业技术人员管理要</w:t>
            </w:r>
            <w:r>
              <w:rPr>
                <w:rFonts w:hint="eastAsia" w:ascii="仿宋_GB2312" w:hAnsi="仿宋_GB2312" w:eastAsia="仿宋_GB2312" w:cs="仿宋_GB2312"/>
                <w:color w:val="auto"/>
                <w:spacing w:val="5"/>
                <w:sz w:val="21"/>
                <w:szCs w:val="21"/>
              </w:rPr>
              <w:t>求单位数</w:t>
            </w:r>
          </w:p>
        </w:tc>
        <w:tc>
          <w:tcPr>
            <w:tcW w:w="994" w:type="dxa"/>
            <w:noWrap w:val="0"/>
            <w:vAlign w:val="center"/>
          </w:tcPr>
          <w:p w14:paraId="54B280E2">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876" w:type="dxa"/>
            <w:noWrap w:val="0"/>
            <w:vAlign w:val="center"/>
          </w:tcPr>
          <w:p w14:paraId="211B15C0">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767" w:type="dxa"/>
            <w:noWrap w:val="0"/>
            <w:vAlign w:val="center"/>
          </w:tcPr>
          <w:p w14:paraId="7AC9C70E">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009" w:type="dxa"/>
            <w:noWrap w:val="0"/>
            <w:vAlign w:val="center"/>
          </w:tcPr>
          <w:p w14:paraId="03953E61">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r>
      <w:tr w14:paraId="2F0B8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jc w:val="center"/>
        </w:trPr>
        <w:tc>
          <w:tcPr>
            <w:tcW w:w="1092" w:type="dxa"/>
            <w:noWrap w:val="0"/>
            <w:vAlign w:val="center"/>
          </w:tcPr>
          <w:p w14:paraId="0D69649A">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5"/>
                <w:sz w:val="21"/>
                <w:szCs w:val="21"/>
              </w:rPr>
              <w:t>职业卫生</w:t>
            </w:r>
            <w:r>
              <w:rPr>
                <w:rFonts w:hint="eastAsia" w:ascii="仿宋_GB2312" w:hAnsi="仿宋_GB2312" w:eastAsia="仿宋_GB2312" w:cs="仿宋_GB2312"/>
                <w:color w:val="auto"/>
                <w:spacing w:val="6"/>
                <w:sz w:val="21"/>
                <w:szCs w:val="21"/>
              </w:rPr>
              <w:t>技术服务</w:t>
            </w:r>
            <w:r>
              <w:rPr>
                <w:rFonts w:hint="eastAsia" w:ascii="仿宋_GB2312" w:hAnsi="仿宋_GB2312" w:eastAsia="仿宋_GB2312" w:cs="仿宋_GB2312"/>
                <w:color w:val="auto"/>
                <w:spacing w:val="5"/>
                <w:sz w:val="21"/>
                <w:szCs w:val="21"/>
              </w:rPr>
              <w:t>机构</w:t>
            </w:r>
          </w:p>
        </w:tc>
        <w:tc>
          <w:tcPr>
            <w:tcW w:w="557" w:type="dxa"/>
            <w:noWrap w:val="0"/>
            <w:vAlign w:val="center"/>
          </w:tcPr>
          <w:p w14:paraId="06DA86F1">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557" w:type="dxa"/>
            <w:noWrap w:val="0"/>
            <w:vAlign w:val="center"/>
          </w:tcPr>
          <w:p w14:paraId="75BFF4CE">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707" w:type="dxa"/>
            <w:noWrap w:val="0"/>
            <w:vAlign w:val="center"/>
          </w:tcPr>
          <w:p w14:paraId="22725032">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032" w:type="dxa"/>
            <w:noWrap w:val="0"/>
            <w:vAlign w:val="center"/>
          </w:tcPr>
          <w:p w14:paraId="2CC198E4">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840" w:type="dxa"/>
            <w:noWrap w:val="0"/>
            <w:vAlign w:val="center"/>
          </w:tcPr>
          <w:p w14:paraId="57182E9F">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277" w:type="dxa"/>
            <w:noWrap w:val="0"/>
            <w:vAlign w:val="center"/>
          </w:tcPr>
          <w:p w14:paraId="65A6F89A">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058" w:type="dxa"/>
            <w:noWrap w:val="0"/>
            <w:vAlign w:val="center"/>
          </w:tcPr>
          <w:p w14:paraId="773951D1">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255" w:type="dxa"/>
            <w:noWrap w:val="0"/>
            <w:vAlign w:val="center"/>
          </w:tcPr>
          <w:p w14:paraId="150F1DD9">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433" w:type="dxa"/>
            <w:noWrap w:val="0"/>
            <w:vAlign w:val="center"/>
          </w:tcPr>
          <w:p w14:paraId="42A4ADF8">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994" w:type="dxa"/>
            <w:noWrap w:val="0"/>
            <w:vAlign w:val="center"/>
          </w:tcPr>
          <w:p w14:paraId="03F41CDD">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876" w:type="dxa"/>
            <w:noWrap w:val="0"/>
            <w:vAlign w:val="center"/>
          </w:tcPr>
          <w:p w14:paraId="35E5CADD">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767" w:type="dxa"/>
            <w:noWrap w:val="0"/>
            <w:vAlign w:val="center"/>
          </w:tcPr>
          <w:p w14:paraId="31A16997">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009" w:type="dxa"/>
            <w:noWrap w:val="0"/>
            <w:vAlign w:val="center"/>
          </w:tcPr>
          <w:p w14:paraId="1D54C3D2">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r>
      <w:tr w14:paraId="5CEE6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092" w:type="dxa"/>
            <w:noWrap w:val="0"/>
            <w:vAlign w:val="center"/>
          </w:tcPr>
          <w:p w14:paraId="3B8867F0">
            <w:pPr>
              <w:pStyle w:val="12"/>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sz w:val="21"/>
                <w:szCs w:val="21"/>
              </w:rPr>
              <w:t>放射卫生</w:t>
            </w:r>
            <w:r>
              <w:rPr>
                <w:rFonts w:hint="eastAsia" w:ascii="仿宋_GB2312" w:hAnsi="仿宋_GB2312" w:eastAsia="仿宋_GB2312" w:cs="仿宋_GB2312"/>
                <w:color w:val="auto"/>
                <w:spacing w:val="6"/>
                <w:sz w:val="21"/>
                <w:szCs w:val="21"/>
              </w:rPr>
              <w:t>技术服务</w:t>
            </w:r>
            <w:r>
              <w:rPr>
                <w:rFonts w:hint="eastAsia" w:ascii="仿宋_GB2312" w:hAnsi="仿宋_GB2312" w:eastAsia="仿宋_GB2312" w:cs="仿宋_GB2312"/>
                <w:color w:val="auto"/>
                <w:spacing w:val="5"/>
                <w:sz w:val="21"/>
                <w:szCs w:val="21"/>
              </w:rPr>
              <w:t>机构</w:t>
            </w:r>
          </w:p>
        </w:tc>
        <w:tc>
          <w:tcPr>
            <w:tcW w:w="557" w:type="dxa"/>
            <w:noWrap w:val="0"/>
            <w:vAlign w:val="center"/>
          </w:tcPr>
          <w:p w14:paraId="75485E8F">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557" w:type="dxa"/>
            <w:noWrap w:val="0"/>
            <w:vAlign w:val="center"/>
          </w:tcPr>
          <w:p w14:paraId="40B0E7C4">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707" w:type="dxa"/>
            <w:noWrap w:val="0"/>
            <w:vAlign w:val="center"/>
          </w:tcPr>
          <w:p w14:paraId="1E68026C">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032" w:type="dxa"/>
            <w:noWrap w:val="0"/>
            <w:vAlign w:val="center"/>
          </w:tcPr>
          <w:p w14:paraId="39596D9E">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840" w:type="dxa"/>
            <w:noWrap w:val="0"/>
            <w:vAlign w:val="center"/>
          </w:tcPr>
          <w:p w14:paraId="5A569D1D">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277" w:type="dxa"/>
            <w:noWrap w:val="0"/>
            <w:vAlign w:val="center"/>
          </w:tcPr>
          <w:p w14:paraId="3316A1D1">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058" w:type="dxa"/>
            <w:noWrap w:val="0"/>
            <w:vAlign w:val="center"/>
          </w:tcPr>
          <w:p w14:paraId="70143B0A">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255" w:type="dxa"/>
            <w:noWrap w:val="0"/>
            <w:vAlign w:val="center"/>
          </w:tcPr>
          <w:p w14:paraId="2C2B5B34">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433" w:type="dxa"/>
            <w:noWrap w:val="0"/>
            <w:vAlign w:val="center"/>
          </w:tcPr>
          <w:p w14:paraId="561BE146">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994" w:type="dxa"/>
            <w:noWrap w:val="0"/>
            <w:vAlign w:val="center"/>
          </w:tcPr>
          <w:p w14:paraId="594131A3">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876" w:type="dxa"/>
            <w:noWrap w:val="0"/>
            <w:vAlign w:val="center"/>
          </w:tcPr>
          <w:p w14:paraId="0CE1A71E">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767" w:type="dxa"/>
            <w:noWrap w:val="0"/>
            <w:vAlign w:val="center"/>
          </w:tcPr>
          <w:p w14:paraId="4E2C7501">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c>
          <w:tcPr>
            <w:tcW w:w="1009" w:type="dxa"/>
            <w:noWrap w:val="0"/>
            <w:vAlign w:val="center"/>
          </w:tcPr>
          <w:p w14:paraId="4241081F">
            <w:pPr>
              <w:keepNext w:val="0"/>
              <w:keepLines w:val="0"/>
              <w:pageBreakBefore w:val="0"/>
              <w:widowControl w:val="0"/>
              <w:kinsoku/>
              <w:wordWrap/>
              <w:overflowPunct/>
              <w:topLinePunct w:val="0"/>
              <w:autoSpaceDE/>
              <w:autoSpaceDN/>
              <w:bidi w:val="0"/>
              <w:adjustRightInd/>
              <w:snapToGrid/>
              <w:spacing w:line="240" w:lineRule="auto"/>
              <w:ind w:left="6" w:leftChars="2" w:right="6" w:rightChars="2" w:firstLine="0"/>
              <w:jc w:val="center"/>
              <w:textAlignment w:val="auto"/>
              <w:rPr>
                <w:rFonts w:hint="eastAsia" w:ascii="仿宋_GB2312" w:hAnsi="仿宋_GB2312" w:eastAsia="仿宋_GB2312" w:cs="仿宋_GB2312"/>
                <w:color w:val="auto"/>
                <w:sz w:val="21"/>
                <w:szCs w:val="21"/>
              </w:rPr>
            </w:pPr>
          </w:p>
        </w:tc>
      </w:tr>
    </w:tbl>
    <w:p w14:paraId="465BD997">
      <w:pPr>
        <w:keepNext w:val="0"/>
        <w:keepLines w:val="0"/>
        <w:pageBreakBefore w:val="0"/>
        <w:widowControl w:val="0"/>
        <w:topLinePunct w:val="0"/>
        <w:bidi w:val="0"/>
        <w:adjustRightInd/>
        <w:snapToGrid/>
        <w:rPr>
          <w:rFonts w:ascii="Arial"/>
          <w:color w:val="auto"/>
          <w:sz w:val="21"/>
        </w:rPr>
      </w:pPr>
    </w:p>
    <w:p w14:paraId="7296D5FD">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Times New Roman" w:cs="Times New Roman"/>
          <w:color w:val="auto"/>
          <w:spacing w:val="-4"/>
          <w:sz w:val="32"/>
          <w:szCs w:val="32"/>
        </w:rPr>
      </w:pPr>
      <w:r>
        <w:rPr>
          <w:rFonts w:ascii="黑体" w:hAnsi="黑体" w:eastAsia="黑体" w:cs="黑体"/>
          <w:color w:val="auto"/>
          <w:spacing w:val="-4"/>
          <w:sz w:val="32"/>
          <w:szCs w:val="32"/>
        </w:rPr>
        <w:br w:type="page"/>
      </w:r>
      <w:r>
        <w:rPr>
          <w:rFonts w:ascii="黑体" w:hAnsi="黑体" w:eastAsia="黑体" w:cs="黑体"/>
          <w:color w:val="auto"/>
          <w:spacing w:val="-4"/>
          <w:sz w:val="32"/>
          <w:szCs w:val="32"/>
        </w:rPr>
        <w:t>附表</w:t>
      </w:r>
      <w:r>
        <w:rPr>
          <w:rFonts w:hint="default" w:ascii="Times New Roman" w:hAnsi="Times New Roman" w:eastAsia="Times New Roman" w:cs="Times New Roman"/>
          <w:color w:val="auto"/>
          <w:spacing w:val="-4"/>
          <w:sz w:val="32"/>
          <w:szCs w:val="32"/>
        </w:rPr>
        <w:t>5</w:t>
      </w:r>
    </w:p>
    <w:p w14:paraId="3CB6A2B6">
      <w:pPr>
        <w:pStyle w:val="4"/>
        <w:keepNext w:val="0"/>
        <w:keepLines w:val="0"/>
        <w:pageBreakBefore w:val="0"/>
        <w:widowControl w:val="0"/>
        <w:kinsoku/>
        <w:wordWrap/>
        <w:overflowPunct/>
        <w:topLinePunct w:val="0"/>
        <w:autoSpaceDE/>
        <w:autoSpaceDN/>
        <w:bidi w:val="0"/>
        <w:adjustRightInd/>
        <w:snapToGrid/>
        <w:spacing w:before="0" w:after="0" w:line="240" w:lineRule="exact"/>
        <w:textAlignment w:val="auto"/>
        <w:rPr>
          <w:color w:val="auto"/>
        </w:rPr>
      </w:pPr>
    </w:p>
    <w:p w14:paraId="79A1BC4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pacing w:val="-6"/>
          <w:sz w:val="44"/>
          <w:szCs w:val="44"/>
        </w:rPr>
      </w:pPr>
      <w:r>
        <w:rPr>
          <w:rFonts w:hint="default" w:ascii="Times New Roman" w:hAnsi="Times New Roman" w:eastAsia="方正小标宋简体" w:cs="Times New Roman"/>
          <w:b w:val="0"/>
          <w:bCs w:val="0"/>
          <w:color w:val="auto"/>
          <w:spacing w:val="-6"/>
          <w:w w:val="97"/>
          <w:sz w:val="44"/>
          <w:szCs w:val="44"/>
        </w:rPr>
        <w:t>2025</w:t>
      </w:r>
      <w:r>
        <w:rPr>
          <w:rFonts w:hint="eastAsia" w:ascii="方正小标宋简体" w:hAnsi="方正小标宋简体" w:eastAsia="方正小标宋简体" w:cs="方正小标宋简体"/>
          <w:b w:val="0"/>
          <w:bCs w:val="0"/>
          <w:color w:val="auto"/>
          <w:spacing w:val="-6"/>
          <w:w w:val="97"/>
          <w:sz w:val="44"/>
          <w:szCs w:val="44"/>
        </w:rPr>
        <w:t>年放射诊疗、职业健康检查、职业病诊断机构国家随机监督抽查</w:t>
      </w:r>
      <w:r>
        <w:rPr>
          <w:rFonts w:hint="eastAsia" w:ascii="方正小标宋简体" w:hAnsi="方正小标宋简体" w:eastAsia="方正小标宋简体" w:cs="方正小标宋简体"/>
          <w:b w:val="0"/>
          <w:bCs w:val="0"/>
          <w:color w:val="auto"/>
          <w:spacing w:val="-6"/>
          <w:w w:val="97"/>
          <w:sz w:val="44"/>
          <w:szCs w:val="44"/>
        </w:rPr>
        <w:br w:type="textWrapping"/>
      </w:r>
      <w:r>
        <w:rPr>
          <w:rFonts w:hint="eastAsia" w:ascii="方正小标宋简体" w:hAnsi="方正小标宋简体" w:eastAsia="方正小标宋简体" w:cs="方正小标宋简体"/>
          <w:b w:val="0"/>
          <w:bCs w:val="0"/>
          <w:color w:val="auto"/>
          <w:spacing w:val="-6"/>
          <w:w w:val="97"/>
          <w:sz w:val="44"/>
          <w:szCs w:val="44"/>
        </w:rPr>
        <w:t>工作计划表</w:t>
      </w:r>
    </w:p>
    <w:p w14:paraId="31DD5EAE">
      <w:pPr>
        <w:keepNext w:val="0"/>
        <w:keepLines w:val="0"/>
        <w:pageBreakBefore w:val="0"/>
        <w:widowControl w:val="0"/>
        <w:topLinePunct w:val="0"/>
        <w:bidi w:val="0"/>
        <w:adjustRightInd/>
        <w:snapToGrid/>
        <w:spacing w:line="183" w:lineRule="exact"/>
        <w:rPr>
          <w:color w:val="auto"/>
        </w:rPr>
      </w:pPr>
    </w:p>
    <w:tbl>
      <w:tblPr>
        <w:tblStyle w:val="13"/>
        <w:tblW w:w="147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2157"/>
        <w:gridCol w:w="960"/>
        <w:gridCol w:w="9718"/>
        <w:gridCol w:w="1163"/>
      </w:tblGrid>
      <w:tr w14:paraId="3E718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jc w:val="center"/>
        </w:trPr>
        <w:tc>
          <w:tcPr>
            <w:tcW w:w="717" w:type="dxa"/>
            <w:noWrap w:val="0"/>
            <w:vAlign w:val="center"/>
          </w:tcPr>
          <w:p w14:paraId="2EA48218">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ascii="Times New Roman" w:hAnsi="Times New Roman" w:eastAsia="仿宋_GB2312" w:cs="Times New Roman"/>
                <w:color w:val="auto"/>
                <w:spacing w:val="0"/>
                <w:position w:val="0"/>
                <w:sz w:val="21"/>
                <w:szCs w:val="21"/>
              </w:rPr>
              <w:t>序号</w:t>
            </w:r>
          </w:p>
        </w:tc>
        <w:tc>
          <w:tcPr>
            <w:tcW w:w="2157" w:type="dxa"/>
            <w:noWrap w:val="0"/>
            <w:vAlign w:val="center"/>
          </w:tcPr>
          <w:p w14:paraId="1BDEF5E5">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ascii="Times New Roman" w:hAnsi="Times New Roman" w:eastAsia="仿宋_GB2312" w:cs="Times New Roman"/>
                <w:color w:val="auto"/>
                <w:spacing w:val="0"/>
                <w:position w:val="0"/>
                <w:sz w:val="21"/>
                <w:szCs w:val="21"/>
              </w:rPr>
              <w:t>监督检查对象</w:t>
            </w:r>
          </w:p>
        </w:tc>
        <w:tc>
          <w:tcPr>
            <w:tcW w:w="960" w:type="dxa"/>
            <w:noWrap w:val="0"/>
            <w:vAlign w:val="center"/>
          </w:tcPr>
          <w:p w14:paraId="0D07E176">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center"/>
              <w:textAlignment w:val="auto"/>
              <w:rPr>
                <w:rFonts w:ascii="Times New Roman" w:hAnsi="Times New Roman" w:eastAsia="仿宋_GB2312" w:cs="Times New Roman"/>
                <w:color w:val="auto"/>
                <w:spacing w:val="0"/>
                <w:position w:val="0"/>
                <w:sz w:val="21"/>
                <w:szCs w:val="21"/>
              </w:rPr>
            </w:pPr>
            <w:r>
              <w:rPr>
                <w:rFonts w:ascii="Times New Roman" w:hAnsi="Times New Roman" w:eastAsia="仿宋_GB2312" w:cs="Times New Roman"/>
                <w:color w:val="auto"/>
                <w:spacing w:val="0"/>
                <w:position w:val="0"/>
                <w:sz w:val="21"/>
                <w:szCs w:val="21"/>
              </w:rPr>
              <w:t>抽检比例</w:t>
            </w:r>
          </w:p>
        </w:tc>
        <w:tc>
          <w:tcPr>
            <w:tcW w:w="9718" w:type="dxa"/>
            <w:noWrap w:val="0"/>
            <w:vAlign w:val="center"/>
          </w:tcPr>
          <w:p w14:paraId="3AF8D04D">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ascii="Times New Roman" w:hAnsi="Times New Roman" w:eastAsia="仿宋_GB2312" w:cs="Times New Roman"/>
                <w:color w:val="auto"/>
                <w:spacing w:val="0"/>
                <w:position w:val="0"/>
                <w:sz w:val="21"/>
                <w:szCs w:val="21"/>
              </w:rPr>
              <w:t>检查内容</w:t>
            </w:r>
          </w:p>
        </w:tc>
        <w:tc>
          <w:tcPr>
            <w:tcW w:w="1163" w:type="dxa"/>
            <w:noWrap w:val="0"/>
            <w:vAlign w:val="center"/>
          </w:tcPr>
          <w:p w14:paraId="1AFCBC7D">
            <w:pPr>
              <w:pStyle w:val="12"/>
              <w:keepNext w:val="0"/>
              <w:keepLines w:val="0"/>
              <w:pageBreakBefore w:val="0"/>
              <w:widowControl w:val="0"/>
              <w:kinsoku/>
              <w:wordWrap/>
              <w:overflowPunct/>
              <w:topLinePunct w:val="0"/>
              <w:autoSpaceDE/>
              <w:autoSpaceDN/>
              <w:bidi w:val="0"/>
              <w:adjustRightInd/>
              <w:snapToGrid/>
              <w:spacing w:line="240"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ascii="Times New Roman" w:hAnsi="Times New Roman" w:eastAsia="仿宋_GB2312" w:cs="Times New Roman"/>
                <w:color w:val="auto"/>
                <w:spacing w:val="0"/>
                <w:position w:val="0"/>
                <w:sz w:val="21"/>
                <w:szCs w:val="21"/>
              </w:rPr>
              <w:t>备注</w:t>
            </w:r>
          </w:p>
        </w:tc>
      </w:tr>
      <w:tr w14:paraId="1EC8C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jc w:val="center"/>
        </w:trPr>
        <w:tc>
          <w:tcPr>
            <w:tcW w:w="717" w:type="dxa"/>
            <w:noWrap w:val="0"/>
            <w:vAlign w:val="center"/>
          </w:tcPr>
          <w:p w14:paraId="722AA3B8">
            <w:pPr>
              <w:keepNext w:val="0"/>
              <w:keepLines w:val="0"/>
              <w:pageBreakBefore w:val="0"/>
              <w:widowControl w:val="0"/>
              <w:kinsoku/>
              <w:wordWrap/>
              <w:overflowPunct/>
              <w:topLinePunct w:val="0"/>
              <w:autoSpaceDE/>
              <w:autoSpaceDN/>
              <w:bidi w:val="0"/>
              <w:adjustRightInd/>
              <w:snapToGrid/>
              <w:spacing w:line="195"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hint="default" w:ascii="Times New Roman" w:hAnsi="Times New Roman" w:eastAsia="仿宋_GB2312" w:cs="Times New Roman"/>
                <w:color w:val="auto"/>
                <w:spacing w:val="0"/>
                <w:position w:val="0"/>
                <w:sz w:val="21"/>
                <w:szCs w:val="21"/>
              </w:rPr>
              <w:t>1</w:t>
            </w:r>
          </w:p>
        </w:tc>
        <w:tc>
          <w:tcPr>
            <w:tcW w:w="2157" w:type="dxa"/>
            <w:noWrap w:val="0"/>
            <w:vAlign w:val="center"/>
          </w:tcPr>
          <w:p w14:paraId="32CE3833">
            <w:pPr>
              <w:pStyle w:val="12"/>
              <w:keepNext w:val="0"/>
              <w:keepLines w:val="0"/>
              <w:pageBreakBefore w:val="0"/>
              <w:widowControl w:val="0"/>
              <w:kinsoku/>
              <w:wordWrap/>
              <w:overflowPunct/>
              <w:topLinePunct w:val="0"/>
              <w:autoSpaceDE/>
              <w:autoSpaceDN/>
              <w:bidi w:val="0"/>
              <w:adjustRightInd/>
              <w:snapToGrid/>
              <w:spacing w:line="225"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ascii="Times New Roman" w:hAnsi="Times New Roman" w:eastAsia="仿宋_GB2312" w:cs="Times New Roman"/>
                <w:color w:val="auto"/>
                <w:spacing w:val="0"/>
                <w:position w:val="0"/>
                <w:sz w:val="21"/>
                <w:szCs w:val="21"/>
              </w:rPr>
              <w:t>放射诊疗机构</w:t>
            </w:r>
          </w:p>
          <w:p w14:paraId="5AEA488F">
            <w:pPr>
              <w:pStyle w:val="12"/>
              <w:keepNext w:val="0"/>
              <w:keepLines w:val="0"/>
              <w:pageBreakBefore w:val="0"/>
              <w:widowControl w:val="0"/>
              <w:kinsoku/>
              <w:wordWrap/>
              <w:overflowPunct/>
              <w:topLinePunct w:val="0"/>
              <w:autoSpaceDE/>
              <w:autoSpaceDN/>
              <w:bidi w:val="0"/>
              <w:adjustRightInd/>
              <w:snapToGrid/>
              <w:spacing w:line="225"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ascii="Times New Roman" w:hAnsi="Times New Roman" w:eastAsia="仿宋_GB2312" w:cs="Times New Roman"/>
                <w:color w:val="auto"/>
                <w:spacing w:val="0"/>
                <w:position w:val="0"/>
                <w:sz w:val="21"/>
                <w:szCs w:val="21"/>
              </w:rPr>
              <w:t>（含中医医疗机构）</w:t>
            </w:r>
          </w:p>
        </w:tc>
        <w:tc>
          <w:tcPr>
            <w:tcW w:w="960" w:type="dxa"/>
            <w:noWrap w:val="0"/>
            <w:vAlign w:val="center"/>
          </w:tcPr>
          <w:p w14:paraId="03D153D8">
            <w:pPr>
              <w:keepNext w:val="0"/>
              <w:keepLines w:val="0"/>
              <w:pageBreakBefore w:val="0"/>
              <w:widowControl w:val="0"/>
              <w:kinsoku/>
              <w:wordWrap/>
              <w:overflowPunct/>
              <w:topLinePunct w:val="0"/>
              <w:autoSpaceDE/>
              <w:autoSpaceDN/>
              <w:bidi w:val="0"/>
              <w:adjustRightInd/>
              <w:snapToGrid/>
              <w:spacing w:line="275" w:lineRule="exact"/>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hint="default" w:ascii="Times New Roman" w:hAnsi="Times New Roman" w:eastAsia="仿宋_GB2312" w:cs="Times New Roman"/>
                <w:color w:val="auto"/>
                <w:spacing w:val="0"/>
                <w:position w:val="0"/>
                <w:sz w:val="21"/>
                <w:szCs w:val="21"/>
              </w:rPr>
              <w:t>20%</w:t>
            </w:r>
          </w:p>
        </w:tc>
        <w:tc>
          <w:tcPr>
            <w:tcW w:w="9718" w:type="dxa"/>
            <w:noWrap w:val="0"/>
            <w:vAlign w:val="center"/>
          </w:tcPr>
          <w:p w14:paraId="71D8A6CC">
            <w:pPr>
              <w:pStyle w:val="12"/>
              <w:keepNext w:val="0"/>
              <w:keepLines w:val="0"/>
              <w:pageBreakBefore w:val="0"/>
              <w:widowControl w:val="0"/>
              <w:kinsoku/>
              <w:wordWrap/>
              <w:overflowPunct/>
              <w:topLinePunct w:val="0"/>
              <w:autoSpaceDE/>
              <w:autoSpaceDN/>
              <w:bidi w:val="0"/>
              <w:adjustRightInd/>
              <w:snapToGrid/>
              <w:spacing w:line="360" w:lineRule="exact"/>
              <w:ind w:left="96" w:leftChars="30" w:right="96" w:rightChars="30" w:firstLine="0"/>
              <w:jc w:val="both"/>
              <w:textAlignment w:val="auto"/>
              <w:rPr>
                <w:rFonts w:ascii="Times New Roman" w:hAnsi="Times New Roman" w:eastAsia="仿宋_GB2312" w:cs="Times New Roman"/>
                <w:color w:val="auto"/>
                <w:spacing w:val="0"/>
                <w:position w:val="0"/>
                <w:sz w:val="21"/>
                <w:szCs w:val="21"/>
              </w:rPr>
            </w:pPr>
            <w:r>
              <w:rPr>
                <w:rFonts w:hint="default" w:ascii="Times New Roman" w:hAnsi="Times New Roman" w:eastAsia="仿宋_GB2312" w:cs="Times New Roman"/>
                <w:color w:val="auto"/>
                <w:spacing w:val="0"/>
                <w:position w:val="0"/>
                <w:sz w:val="21"/>
                <w:szCs w:val="21"/>
              </w:rPr>
              <w:t>1</w:t>
            </w:r>
            <w:r>
              <w:rPr>
                <w:rFonts w:ascii="Times New Roman" w:hAnsi="Times New Roman" w:eastAsia="仿宋_GB2312" w:cs="Times New Roman"/>
                <w:color w:val="auto"/>
                <w:spacing w:val="0"/>
                <w:position w:val="0"/>
                <w:sz w:val="21"/>
                <w:szCs w:val="21"/>
              </w:rPr>
              <w:t>.放射诊疗建设项目管理情况；</w:t>
            </w:r>
            <w:r>
              <w:rPr>
                <w:rFonts w:hint="default" w:ascii="Times New Roman" w:hAnsi="Times New Roman" w:eastAsia="仿宋_GB2312" w:cs="Times New Roman"/>
                <w:color w:val="auto"/>
                <w:spacing w:val="0"/>
                <w:position w:val="0"/>
                <w:sz w:val="21"/>
                <w:szCs w:val="21"/>
              </w:rPr>
              <w:t>2</w:t>
            </w:r>
            <w:r>
              <w:rPr>
                <w:rFonts w:ascii="Times New Roman" w:hAnsi="Times New Roman" w:eastAsia="仿宋_GB2312" w:cs="Times New Roman"/>
                <w:color w:val="auto"/>
                <w:spacing w:val="0"/>
                <w:position w:val="0"/>
                <w:sz w:val="21"/>
                <w:szCs w:val="21"/>
              </w:rPr>
              <w:t>.放射诊疗场所管理及其防护措施情况；</w:t>
            </w:r>
            <w:r>
              <w:rPr>
                <w:rFonts w:hint="default" w:ascii="Times New Roman" w:hAnsi="Times New Roman" w:eastAsia="仿宋_GB2312" w:cs="Times New Roman"/>
                <w:color w:val="auto"/>
                <w:spacing w:val="0"/>
                <w:position w:val="0"/>
                <w:sz w:val="21"/>
                <w:szCs w:val="21"/>
              </w:rPr>
              <w:t>3</w:t>
            </w:r>
            <w:r>
              <w:rPr>
                <w:rFonts w:ascii="Times New Roman" w:hAnsi="Times New Roman" w:eastAsia="仿宋_GB2312" w:cs="Times New Roman"/>
                <w:color w:val="auto"/>
                <w:spacing w:val="0"/>
                <w:position w:val="0"/>
                <w:sz w:val="21"/>
                <w:szCs w:val="21"/>
              </w:rPr>
              <w:t>.放射诊疗设备管理情况；</w:t>
            </w:r>
            <w:r>
              <w:rPr>
                <w:rFonts w:hint="default" w:ascii="Times New Roman" w:hAnsi="Times New Roman" w:eastAsia="仿宋_GB2312" w:cs="Times New Roman"/>
                <w:color w:val="auto"/>
                <w:spacing w:val="0"/>
                <w:position w:val="0"/>
                <w:sz w:val="21"/>
                <w:szCs w:val="21"/>
              </w:rPr>
              <w:t>4</w:t>
            </w:r>
            <w:r>
              <w:rPr>
                <w:rFonts w:ascii="Times New Roman" w:hAnsi="Times New Roman" w:eastAsia="仿宋_GB2312" w:cs="Times New Roman"/>
                <w:color w:val="auto"/>
                <w:spacing w:val="0"/>
                <w:position w:val="0"/>
                <w:sz w:val="21"/>
                <w:szCs w:val="21"/>
              </w:rPr>
              <w:t>.放射工作人员健康管理情况；</w:t>
            </w:r>
            <w:r>
              <w:rPr>
                <w:rFonts w:hint="default" w:ascii="Times New Roman" w:hAnsi="Times New Roman" w:eastAsia="仿宋_GB2312" w:cs="Times New Roman"/>
                <w:color w:val="auto"/>
                <w:spacing w:val="0"/>
                <w:position w:val="0"/>
                <w:sz w:val="21"/>
                <w:szCs w:val="21"/>
              </w:rPr>
              <w:t>5</w:t>
            </w:r>
            <w:r>
              <w:rPr>
                <w:rFonts w:ascii="Times New Roman" w:hAnsi="Times New Roman" w:eastAsia="仿宋_GB2312" w:cs="Times New Roman"/>
                <w:color w:val="auto"/>
                <w:spacing w:val="0"/>
                <w:position w:val="0"/>
                <w:sz w:val="21"/>
                <w:szCs w:val="21"/>
              </w:rPr>
              <w:t>.开展放射诊疗人员条件管理情况；</w:t>
            </w:r>
            <w:r>
              <w:rPr>
                <w:rFonts w:hint="default" w:ascii="Times New Roman" w:hAnsi="Times New Roman" w:eastAsia="仿宋_GB2312" w:cs="Times New Roman"/>
                <w:color w:val="auto"/>
                <w:spacing w:val="0"/>
                <w:position w:val="0"/>
                <w:sz w:val="21"/>
                <w:szCs w:val="21"/>
              </w:rPr>
              <w:t>6</w:t>
            </w:r>
            <w:r>
              <w:rPr>
                <w:rFonts w:ascii="Times New Roman" w:hAnsi="Times New Roman" w:eastAsia="仿宋_GB2312" w:cs="Times New Roman"/>
                <w:color w:val="auto"/>
                <w:spacing w:val="0"/>
                <w:position w:val="0"/>
                <w:sz w:val="21"/>
                <w:szCs w:val="21"/>
              </w:rPr>
              <w:t>.对患者、受检者及其他非放射工作人员的保护情况；</w:t>
            </w:r>
            <w:r>
              <w:rPr>
                <w:rFonts w:hint="default" w:ascii="Times New Roman" w:hAnsi="Times New Roman" w:eastAsia="仿宋_GB2312" w:cs="Times New Roman"/>
                <w:color w:val="auto"/>
                <w:spacing w:val="0"/>
                <w:position w:val="0"/>
                <w:sz w:val="21"/>
                <w:szCs w:val="21"/>
              </w:rPr>
              <w:t>7</w:t>
            </w:r>
            <w:r>
              <w:rPr>
                <w:rFonts w:ascii="Times New Roman" w:hAnsi="Times New Roman" w:eastAsia="仿宋_GB2312" w:cs="Times New Roman"/>
                <w:color w:val="auto"/>
                <w:spacing w:val="0"/>
                <w:position w:val="0"/>
                <w:sz w:val="21"/>
                <w:szCs w:val="21"/>
              </w:rPr>
              <w:t>.放射事件预防处置情况；</w:t>
            </w:r>
            <w:r>
              <w:rPr>
                <w:rFonts w:hint="default" w:ascii="Times New Roman" w:hAnsi="Times New Roman" w:eastAsia="仿宋_GB2312" w:cs="Times New Roman"/>
                <w:color w:val="auto"/>
                <w:spacing w:val="0"/>
                <w:position w:val="0"/>
                <w:sz w:val="21"/>
                <w:szCs w:val="21"/>
              </w:rPr>
              <w:t>8</w:t>
            </w:r>
            <w:r>
              <w:rPr>
                <w:rFonts w:ascii="Times New Roman" w:hAnsi="Times New Roman" w:eastAsia="仿宋_GB2312" w:cs="Times New Roman"/>
                <w:color w:val="auto"/>
                <w:spacing w:val="0"/>
                <w:position w:val="0"/>
                <w:sz w:val="21"/>
                <w:szCs w:val="21"/>
              </w:rPr>
              <w:t>.疑似职业病和职业</w:t>
            </w:r>
            <w:r>
              <w:rPr>
                <w:rFonts w:hint="eastAsia" w:ascii="Times New Roman" w:hAnsi="Times New Roman" w:eastAsia="仿宋_GB2312" w:cs="Times New Roman"/>
                <w:color w:val="auto"/>
                <w:spacing w:val="0"/>
                <w:position w:val="0"/>
                <w:sz w:val="21"/>
                <w:szCs w:val="21"/>
                <w:lang w:val="en-US" w:eastAsia="zh-CN"/>
              </w:rPr>
              <w:t>病</w:t>
            </w:r>
            <w:r>
              <w:rPr>
                <w:rFonts w:ascii="Times New Roman" w:hAnsi="Times New Roman" w:eastAsia="仿宋_GB2312" w:cs="Times New Roman"/>
                <w:color w:val="auto"/>
                <w:spacing w:val="0"/>
                <w:position w:val="0"/>
                <w:sz w:val="21"/>
                <w:szCs w:val="21"/>
              </w:rPr>
              <w:t>病人处置情况；</w:t>
            </w:r>
            <w:r>
              <w:rPr>
                <w:rFonts w:hint="default" w:ascii="Times New Roman" w:hAnsi="Times New Roman" w:eastAsia="仿宋_GB2312" w:cs="Times New Roman"/>
                <w:color w:val="auto"/>
                <w:spacing w:val="0"/>
                <w:position w:val="0"/>
                <w:sz w:val="21"/>
                <w:szCs w:val="21"/>
              </w:rPr>
              <w:t>9</w:t>
            </w:r>
            <w:r>
              <w:rPr>
                <w:rFonts w:ascii="Times New Roman" w:hAnsi="Times New Roman" w:eastAsia="仿宋_GB2312" w:cs="Times New Roman"/>
                <w:color w:val="auto"/>
                <w:spacing w:val="0"/>
                <w:position w:val="0"/>
                <w:sz w:val="21"/>
                <w:szCs w:val="21"/>
              </w:rPr>
              <w:t>.档案管理与体系建设情况；</w:t>
            </w:r>
            <w:r>
              <w:rPr>
                <w:rFonts w:hint="default" w:ascii="Times New Roman" w:hAnsi="Times New Roman" w:eastAsia="仿宋_GB2312" w:cs="Times New Roman"/>
                <w:color w:val="auto"/>
                <w:spacing w:val="0"/>
                <w:position w:val="0"/>
                <w:sz w:val="21"/>
                <w:szCs w:val="21"/>
              </w:rPr>
              <w:t>10</w:t>
            </w:r>
            <w:r>
              <w:rPr>
                <w:rFonts w:ascii="Times New Roman" w:hAnsi="Times New Roman" w:eastAsia="仿宋_GB2312" w:cs="Times New Roman"/>
                <w:color w:val="auto"/>
                <w:spacing w:val="0"/>
                <w:position w:val="0"/>
                <w:sz w:val="21"/>
                <w:szCs w:val="21"/>
              </w:rPr>
              <w:t>.</w:t>
            </w:r>
            <w:r>
              <w:rPr>
                <w:rFonts w:hint="default" w:ascii="Times New Roman" w:hAnsi="Times New Roman" w:eastAsia="仿宋_GB2312" w:cs="Times New Roman"/>
                <w:color w:val="auto"/>
                <w:spacing w:val="0"/>
                <w:position w:val="0"/>
                <w:sz w:val="21"/>
                <w:szCs w:val="21"/>
              </w:rPr>
              <w:t>X</w:t>
            </w:r>
            <w:r>
              <w:rPr>
                <w:rFonts w:ascii="Times New Roman" w:hAnsi="Times New Roman" w:eastAsia="仿宋_GB2312" w:cs="Times New Roman"/>
                <w:color w:val="auto"/>
                <w:spacing w:val="0"/>
                <w:position w:val="0"/>
                <w:sz w:val="21"/>
                <w:szCs w:val="21"/>
              </w:rPr>
              <w:t>射线诊断管理情况；</w:t>
            </w:r>
            <w:r>
              <w:rPr>
                <w:rFonts w:hint="default" w:ascii="Times New Roman" w:hAnsi="Times New Roman" w:eastAsia="仿宋_GB2312" w:cs="Times New Roman"/>
                <w:color w:val="auto"/>
                <w:spacing w:val="0"/>
                <w:position w:val="0"/>
                <w:sz w:val="21"/>
                <w:szCs w:val="21"/>
              </w:rPr>
              <w:t>11</w:t>
            </w:r>
            <w:r>
              <w:rPr>
                <w:rFonts w:ascii="Times New Roman" w:hAnsi="Times New Roman" w:eastAsia="仿宋_GB2312" w:cs="Times New Roman"/>
                <w:color w:val="auto"/>
                <w:spacing w:val="0"/>
                <w:position w:val="0"/>
                <w:sz w:val="21"/>
                <w:szCs w:val="21"/>
              </w:rPr>
              <w:t>.介入放射诊疗管理情况；</w:t>
            </w:r>
            <w:r>
              <w:rPr>
                <w:rFonts w:hint="default" w:ascii="Times New Roman" w:hAnsi="Times New Roman" w:eastAsia="仿宋_GB2312" w:cs="Times New Roman"/>
                <w:color w:val="auto"/>
                <w:spacing w:val="0"/>
                <w:position w:val="0"/>
                <w:sz w:val="21"/>
                <w:szCs w:val="21"/>
              </w:rPr>
              <w:t>12</w:t>
            </w:r>
            <w:r>
              <w:rPr>
                <w:rFonts w:ascii="Times New Roman" w:hAnsi="Times New Roman" w:eastAsia="仿宋_GB2312" w:cs="Times New Roman"/>
                <w:color w:val="auto"/>
                <w:spacing w:val="0"/>
                <w:position w:val="0"/>
                <w:sz w:val="21"/>
                <w:szCs w:val="21"/>
              </w:rPr>
              <w:t>.核医学诊疗管理情况；</w:t>
            </w:r>
            <w:r>
              <w:rPr>
                <w:rFonts w:hint="default" w:ascii="Times New Roman" w:hAnsi="Times New Roman" w:eastAsia="仿宋_GB2312" w:cs="Times New Roman"/>
                <w:color w:val="auto"/>
                <w:spacing w:val="0"/>
                <w:position w:val="0"/>
                <w:sz w:val="21"/>
                <w:szCs w:val="21"/>
              </w:rPr>
              <w:t>13</w:t>
            </w:r>
            <w:r>
              <w:rPr>
                <w:rFonts w:ascii="Times New Roman" w:hAnsi="Times New Roman" w:eastAsia="仿宋_GB2312" w:cs="Times New Roman"/>
                <w:color w:val="auto"/>
                <w:spacing w:val="0"/>
                <w:position w:val="0"/>
                <w:sz w:val="21"/>
                <w:szCs w:val="21"/>
              </w:rPr>
              <w:t>.放射治疗管理情况。</w:t>
            </w:r>
          </w:p>
        </w:tc>
        <w:tc>
          <w:tcPr>
            <w:tcW w:w="1163" w:type="dxa"/>
            <w:noWrap w:val="0"/>
            <w:vAlign w:val="center"/>
          </w:tcPr>
          <w:p w14:paraId="2548D9FE">
            <w:pPr>
              <w:keepNext w:val="0"/>
              <w:keepLines w:val="0"/>
              <w:pageBreakBefore w:val="0"/>
              <w:widowControl w:val="0"/>
              <w:kinsoku/>
              <w:wordWrap/>
              <w:overflowPunct/>
              <w:topLinePunct w:val="0"/>
              <w:autoSpaceDE/>
              <w:autoSpaceDN/>
              <w:bidi w:val="0"/>
              <w:adjustRightInd/>
              <w:snapToGrid/>
              <w:ind w:left="96" w:leftChars="30" w:right="96" w:rightChars="30" w:firstLine="0"/>
              <w:textAlignment w:val="auto"/>
              <w:rPr>
                <w:rFonts w:ascii="Times New Roman" w:hAnsi="Times New Roman" w:eastAsia="仿宋_GB2312" w:cs="Times New Roman"/>
                <w:color w:val="auto"/>
                <w:spacing w:val="0"/>
                <w:position w:val="0"/>
                <w:sz w:val="21"/>
                <w:szCs w:val="21"/>
              </w:rPr>
            </w:pPr>
          </w:p>
        </w:tc>
      </w:tr>
      <w:tr w14:paraId="70FA6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jc w:val="center"/>
        </w:trPr>
        <w:tc>
          <w:tcPr>
            <w:tcW w:w="717" w:type="dxa"/>
            <w:noWrap w:val="0"/>
            <w:vAlign w:val="center"/>
          </w:tcPr>
          <w:p w14:paraId="303DA2AB">
            <w:pPr>
              <w:keepNext w:val="0"/>
              <w:keepLines w:val="0"/>
              <w:pageBreakBefore w:val="0"/>
              <w:widowControl w:val="0"/>
              <w:kinsoku/>
              <w:wordWrap/>
              <w:overflowPunct/>
              <w:topLinePunct w:val="0"/>
              <w:autoSpaceDE/>
              <w:autoSpaceDN/>
              <w:bidi w:val="0"/>
              <w:adjustRightInd/>
              <w:snapToGrid/>
              <w:spacing w:line="195"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hint="default" w:ascii="Times New Roman" w:hAnsi="Times New Roman" w:eastAsia="仿宋_GB2312" w:cs="Times New Roman"/>
                <w:color w:val="auto"/>
                <w:spacing w:val="0"/>
                <w:position w:val="0"/>
                <w:sz w:val="21"/>
                <w:szCs w:val="21"/>
              </w:rPr>
              <w:t>2</w:t>
            </w:r>
          </w:p>
        </w:tc>
        <w:tc>
          <w:tcPr>
            <w:tcW w:w="2157" w:type="dxa"/>
            <w:noWrap w:val="0"/>
            <w:vAlign w:val="center"/>
          </w:tcPr>
          <w:p w14:paraId="3FD6799C">
            <w:pPr>
              <w:pStyle w:val="12"/>
              <w:keepNext w:val="0"/>
              <w:keepLines w:val="0"/>
              <w:pageBreakBefore w:val="0"/>
              <w:widowControl w:val="0"/>
              <w:kinsoku/>
              <w:wordWrap/>
              <w:overflowPunct/>
              <w:topLinePunct w:val="0"/>
              <w:autoSpaceDE/>
              <w:autoSpaceDN/>
              <w:bidi w:val="0"/>
              <w:adjustRightInd/>
              <w:snapToGrid/>
              <w:spacing w:line="223"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ascii="Times New Roman" w:hAnsi="Times New Roman" w:eastAsia="仿宋_GB2312" w:cs="Times New Roman"/>
                <w:color w:val="auto"/>
                <w:spacing w:val="0"/>
                <w:position w:val="0"/>
                <w:sz w:val="21"/>
                <w:szCs w:val="21"/>
              </w:rPr>
              <w:t>职业健康检查机构</w:t>
            </w:r>
          </w:p>
        </w:tc>
        <w:tc>
          <w:tcPr>
            <w:tcW w:w="960" w:type="dxa"/>
            <w:noWrap w:val="0"/>
            <w:vAlign w:val="center"/>
          </w:tcPr>
          <w:p w14:paraId="6AC512CF">
            <w:pPr>
              <w:keepNext w:val="0"/>
              <w:keepLines w:val="0"/>
              <w:pageBreakBefore w:val="0"/>
              <w:widowControl w:val="0"/>
              <w:kinsoku/>
              <w:wordWrap/>
              <w:overflowPunct/>
              <w:topLinePunct w:val="0"/>
              <w:autoSpaceDE/>
              <w:autoSpaceDN/>
              <w:bidi w:val="0"/>
              <w:adjustRightInd/>
              <w:snapToGrid/>
              <w:spacing w:line="274" w:lineRule="exact"/>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hint="default" w:ascii="Times New Roman" w:hAnsi="Times New Roman" w:eastAsia="仿宋_GB2312" w:cs="Times New Roman"/>
                <w:color w:val="auto"/>
                <w:spacing w:val="0"/>
                <w:position w:val="0"/>
                <w:sz w:val="21"/>
                <w:szCs w:val="21"/>
              </w:rPr>
              <w:t>60%</w:t>
            </w:r>
          </w:p>
        </w:tc>
        <w:tc>
          <w:tcPr>
            <w:tcW w:w="9718" w:type="dxa"/>
            <w:vMerge w:val="restart"/>
            <w:tcBorders>
              <w:bottom w:val="nil"/>
            </w:tcBorders>
            <w:noWrap w:val="0"/>
            <w:vAlign w:val="center"/>
          </w:tcPr>
          <w:p w14:paraId="61187C53">
            <w:pPr>
              <w:pStyle w:val="12"/>
              <w:keepNext w:val="0"/>
              <w:keepLines w:val="0"/>
              <w:pageBreakBefore w:val="0"/>
              <w:widowControl w:val="0"/>
              <w:kinsoku/>
              <w:wordWrap/>
              <w:overflowPunct/>
              <w:topLinePunct w:val="0"/>
              <w:autoSpaceDE/>
              <w:autoSpaceDN/>
              <w:bidi w:val="0"/>
              <w:adjustRightInd/>
              <w:snapToGrid/>
              <w:spacing w:line="360" w:lineRule="exact"/>
              <w:ind w:left="96" w:leftChars="30" w:right="96" w:rightChars="30" w:firstLine="0"/>
              <w:jc w:val="both"/>
              <w:textAlignment w:val="auto"/>
              <w:rPr>
                <w:rFonts w:ascii="Times New Roman" w:hAnsi="Times New Roman" w:eastAsia="仿宋_GB2312" w:cs="Times New Roman"/>
                <w:color w:val="auto"/>
                <w:spacing w:val="0"/>
                <w:position w:val="0"/>
                <w:sz w:val="21"/>
                <w:szCs w:val="21"/>
              </w:rPr>
            </w:pPr>
            <w:r>
              <w:rPr>
                <w:rFonts w:hint="default" w:ascii="Times New Roman" w:hAnsi="Times New Roman" w:eastAsia="仿宋_GB2312" w:cs="Times New Roman"/>
                <w:color w:val="auto"/>
                <w:spacing w:val="0"/>
                <w:position w:val="0"/>
                <w:sz w:val="21"/>
                <w:szCs w:val="21"/>
              </w:rPr>
              <w:t>1</w:t>
            </w:r>
            <w:r>
              <w:rPr>
                <w:rFonts w:ascii="Times New Roman" w:hAnsi="Times New Roman" w:eastAsia="仿宋_GB2312" w:cs="Times New Roman"/>
                <w:color w:val="auto"/>
                <w:spacing w:val="0"/>
                <w:position w:val="0"/>
                <w:sz w:val="21"/>
                <w:szCs w:val="21"/>
              </w:rPr>
              <w:t>.是否在备案的范围内开展工作；</w:t>
            </w:r>
            <w:r>
              <w:rPr>
                <w:rFonts w:hint="default" w:ascii="Times New Roman" w:hAnsi="Times New Roman" w:eastAsia="仿宋_GB2312" w:cs="Times New Roman"/>
                <w:color w:val="auto"/>
                <w:spacing w:val="0"/>
                <w:position w:val="0"/>
                <w:sz w:val="21"/>
                <w:szCs w:val="21"/>
              </w:rPr>
              <w:t>2</w:t>
            </w:r>
            <w:r>
              <w:rPr>
                <w:rFonts w:ascii="Times New Roman" w:hAnsi="Times New Roman" w:eastAsia="仿宋_GB2312" w:cs="Times New Roman"/>
                <w:color w:val="auto"/>
                <w:spacing w:val="0"/>
                <w:position w:val="0"/>
                <w:sz w:val="21"/>
                <w:szCs w:val="21"/>
              </w:rPr>
              <w:t>.出具的报告是否符合相关要求；</w:t>
            </w:r>
            <w:r>
              <w:rPr>
                <w:rFonts w:hint="default" w:ascii="Times New Roman" w:hAnsi="Times New Roman" w:eastAsia="仿宋_GB2312" w:cs="Times New Roman"/>
                <w:color w:val="auto"/>
                <w:spacing w:val="0"/>
                <w:position w:val="0"/>
                <w:sz w:val="21"/>
                <w:szCs w:val="21"/>
              </w:rPr>
              <w:t>3</w:t>
            </w:r>
            <w:r>
              <w:rPr>
                <w:rFonts w:ascii="Times New Roman" w:hAnsi="Times New Roman" w:eastAsia="仿宋_GB2312" w:cs="Times New Roman"/>
                <w:color w:val="auto"/>
                <w:spacing w:val="0"/>
                <w:position w:val="0"/>
                <w:sz w:val="21"/>
                <w:szCs w:val="21"/>
              </w:rPr>
              <w:t>.技术人员是否满足工作要求；</w:t>
            </w:r>
            <w:r>
              <w:rPr>
                <w:rFonts w:hint="default" w:ascii="Times New Roman" w:hAnsi="Times New Roman" w:eastAsia="仿宋_GB2312" w:cs="Times New Roman"/>
                <w:color w:val="auto"/>
                <w:spacing w:val="0"/>
                <w:position w:val="0"/>
                <w:sz w:val="21"/>
                <w:szCs w:val="21"/>
              </w:rPr>
              <w:t>4</w:t>
            </w:r>
            <w:r>
              <w:rPr>
                <w:rFonts w:ascii="Times New Roman" w:hAnsi="Times New Roman" w:eastAsia="仿宋_GB2312" w:cs="Times New Roman"/>
                <w:color w:val="auto"/>
                <w:spacing w:val="0"/>
                <w:position w:val="0"/>
                <w:sz w:val="21"/>
                <w:szCs w:val="21"/>
              </w:rPr>
              <w:t>.仪器设备场所是否满足工作要求；</w:t>
            </w:r>
            <w:r>
              <w:rPr>
                <w:rFonts w:hint="default" w:ascii="Times New Roman" w:hAnsi="Times New Roman" w:eastAsia="仿宋_GB2312" w:cs="Times New Roman"/>
                <w:color w:val="auto"/>
                <w:spacing w:val="0"/>
                <w:position w:val="0"/>
                <w:sz w:val="21"/>
                <w:szCs w:val="21"/>
              </w:rPr>
              <w:t>5</w:t>
            </w:r>
            <w:r>
              <w:rPr>
                <w:rFonts w:ascii="Times New Roman" w:hAnsi="Times New Roman" w:eastAsia="仿宋_GB2312" w:cs="Times New Roman"/>
                <w:color w:val="auto"/>
                <w:spacing w:val="0"/>
                <w:position w:val="0"/>
                <w:sz w:val="21"/>
                <w:szCs w:val="21"/>
              </w:rPr>
              <w:t>.质量控制、程序是否符合相关要求；</w:t>
            </w:r>
            <w:r>
              <w:rPr>
                <w:rFonts w:hint="default" w:ascii="Times New Roman" w:hAnsi="Times New Roman" w:eastAsia="仿宋_GB2312" w:cs="Times New Roman"/>
                <w:color w:val="auto"/>
                <w:spacing w:val="0"/>
                <w:position w:val="0"/>
                <w:sz w:val="21"/>
                <w:szCs w:val="21"/>
              </w:rPr>
              <w:t>6</w:t>
            </w:r>
            <w:r>
              <w:rPr>
                <w:rFonts w:ascii="Times New Roman" w:hAnsi="Times New Roman" w:eastAsia="仿宋_GB2312" w:cs="Times New Roman"/>
                <w:color w:val="auto"/>
                <w:spacing w:val="0"/>
                <w:position w:val="0"/>
                <w:sz w:val="21"/>
                <w:szCs w:val="21"/>
              </w:rPr>
              <w:t>.档案管理是否符合相关要求；</w:t>
            </w:r>
            <w:r>
              <w:rPr>
                <w:rFonts w:hint="default" w:ascii="Times New Roman" w:hAnsi="Times New Roman" w:eastAsia="仿宋_GB2312" w:cs="Times New Roman"/>
                <w:color w:val="auto"/>
                <w:spacing w:val="0"/>
                <w:position w:val="0"/>
                <w:sz w:val="21"/>
                <w:szCs w:val="21"/>
              </w:rPr>
              <w:t>7</w:t>
            </w:r>
            <w:r>
              <w:rPr>
                <w:rFonts w:ascii="Times New Roman" w:hAnsi="Times New Roman" w:eastAsia="仿宋_GB2312" w:cs="Times New Roman"/>
                <w:color w:val="auto"/>
                <w:spacing w:val="0"/>
                <w:position w:val="0"/>
                <w:sz w:val="21"/>
                <w:szCs w:val="21"/>
              </w:rPr>
              <w:t>.管理制度是否符合相关要求；</w:t>
            </w:r>
            <w:r>
              <w:rPr>
                <w:rFonts w:hint="default" w:ascii="Times New Roman" w:hAnsi="Times New Roman" w:eastAsia="仿宋_GB2312" w:cs="Times New Roman"/>
                <w:color w:val="auto"/>
                <w:spacing w:val="0"/>
                <w:position w:val="0"/>
                <w:sz w:val="21"/>
                <w:szCs w:val="21"/>
              </w:rPr>
              <w:t>8</w:t>
            </w:r>
            <w:r>
              <w:rPr>
                <w:rFonts w:ascii="Times New Roman" w:hAnsi="Times New Roman" w:eastAsia="仿宋_GB2312" w:cs="Times New Roman"/>
                <w:color w:val="auto"/>
                <w:spacing w:val="0"/>
                <w:position w:val="0"/>
                <w:sz w:val="21"/>
                <w:szCs w:val="21"/>
              </w:rPr>
              <w:t>.劳动者保护是否符合相关要求；</w:t>
            </w:r>
            <w:r>
              <w:rPr>
                <w:rFonts w:hint="default" w:ascii="Times New Roman" w:hAnsi="Times New Roman" w:eastAsia="仿宋_GB2312" w:cs="Times New Roman"/>
                <w:color w:val="auto"/>
                <w:spacing w:val="0"/>
                <w:position w:val="0"/>
                <w:sz w:val="21"/>
                <w:szCs w:val="21"/>
              </w:rPr>
              <w:t>9</w:t>
            </w:r>
            <w:r>
              <w:rPr>
                <w:rFonts w:ascii="Times New Roman" w:hAnsi="Times New Roman" w:eastAsia="仿宋_GB2312" w:cs="Times New Roman"/>
                <w:color w:val="auto"/>
                <w:spacing w:val="0"/>
                <w:position w:val="0"/>
                <w:sz w:val="21"/>
                <w:szCs w:val="21"/>
              </w:rPr>
              <w:t>.职业健康检查结果、职业禁忌、疑似职业病、职业病的告知、通知、报告是否符合相关要求；</w:t>
            </w:r>
            <w:r>
              <w:rPr>
                <w:rFonts w:hint="default" w:ascii="Times New Roman" w:hAnsi="Times New Roman" w:eastAsia="仿宋_GB2312" w:cs="Times New Roman"/>
                <w:color w:val="auto"/>
                <w:spacing w:val="0"/>
                <w:position w:val="0"/>
                <w:sz w:val="21"/>
                <w:szCs w:val="21"/>
              </w:rPr>
              <w:t>10</w:t>
            </w:r>
            <w:r>
              <w:rPr>
                <w:rFonts w:ascii="Times New Roman" w:hAnsi="Times New Roman" w:eastAsia="仿宋_GB2312" w:cs="Times New Roman"/>
                <w:color w:val="auto"/>
                <w:spacing w:val="0"/>
                <w:position w:val="0"/>
                <w:sz w:val="21"/>
                <w:szCs w:val="21"/>
              </w:rPr>
              <w:t>.是否按照规定参加质量控制评估，若质量控制评估不合格是否按要求整改。</w:t>
            </w:r>
          </w:p>
        </w:tc>
        <w:tc>
          <w:tcPr>
            <w:tcW w:w="1163" w:type="dxa"/>
            <w:vMerge w:val="restart"/>
            <w:tcBorders>
              <w:bottom w:val="nil"/>
            </w:tcBorders>
            <w:noWrap w:val="0"/>
            <w:vAlign w:val="center"/>
          </w:tcPr>
          <w:p w14:paraId="57C56FC7">
            <w:pPr>
              <w:keepNext w:val="0"/>
              <w:keepLines w:val="0"/>
              <w:pageBreakBefore w:val="0"/>
              <w:widowControl w:val="0"/>
              <w:kinsoku/>
              <w:wordWrap/>
              <w:overflowPunct/>
              <w:topLinePunct w:val="0"/>
              <w:autoSpaceDE/>
              <w:autoSpaceDN/>
              <w:bidi w:val="0"/>
              <w:adjustRightInd/>
              <w:snapToGrid/>
              <w:ind w:left="96" w:leftChars="30" w:right="96" w:rightChars="30" w:firstLine="0"/>
              <w:textAlignment w:val="auto"/>
              <w:rPr>
                <w:rFonts w:ascii="Times New Roman" w:hAnsi="Times New Roman" w:eastAsia="仿宋_GB2312" w:cs="Times New Roman"/>
                <w:color w:val="auto"/>
                <w:spacing w:val="0"/>
                <w:position w:val="0"/>
                <w:sz w:val="21"/>
                <w:szCs w:val="21"/>
              </w:rPr>
            </w:pPr>
          </w:p>
        </w:tc>
      </w:tr>
      <w:tr w14:paraId="20F02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jc w:val="center"/>
        </w:trPr>
        <w:tc>
          <w:tcPr>
            <w:tcW w:w="717" w:type="dxa"/>
            <w:noWrap w:val="0"/>
            <w:vAlign w:val="center"/>
          </w:tcPr>
          <w:p w14:paraId="6EC64923">
            <w:pPr>
              <w:keepNext w:val="0"/>
              <w:keepLines w:val="0"/>
              <w:pageBreakBefore w:val="0"/>
              <w:widowControl w:val="0"/>
              <w:kinsoku/>
              <w:wordWrap/>
              <w:overflowPunct/>
              <w:topLinePunct w:val="0"/>
              <w:autoSpaceDE/>
              <w:autoSpaceDN/>
              <w:bidi w:val="0"/>
              <w:adjustRightInd/>
              <w:snapToGrid/>
              <w:spacing w:line="195"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hint="default" w:ascii="Times New Roman" w:hAnsi="Times New Roman" w:eastAsia="仿宋_GB2312" w:cs="Times New Roman"/>
                <w:color w:val="auto"/>
                <w:spacing w:val="0"/>
                <w:position w:val="0"/>
                <w:sz w:val="21"/>
                <w:szCs w:val="21"/>
              </w:rPr>
              <w:t>3</w:t>
            </w:r>
          </w:p>
        </w:tc>
        <w:tc>
          <w:tcPr>
            <w:tcW w:w="2157" w:type="dxa"/>
            <w:noWrap w:val="0"/>
            <w:vAlign w:val="center"/>
          </w:tcPr>
          <w:p w14:paraId="45E9E017">
            <w:pPr>
              <w:pStyle w:val="12"/>
              <w:keepNext w:val="0"/>
              <w:keepLines w:val="0"/>
              <w:pageBreakBefore w:val="0"/>
              <w:widowControl w:val="0"/>
              <w:kinsoku/>
              <w:wordWrap/>
              <w:overflowPunct/>
              <w:topLinePunct w:val="0"/>
              <w:autoSpaceDE/>
              <w:autoSpaceDN/>
              <w:bidi w:val="0"/>
              <w:adjustRightInd/>
              <w:snapToGrid/>
              <w:spacing w:line="224" w:lineRule="auto"/>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ascii="Times New Roman" w:hAnsi="Times New Roman" w:eastAsia="仿宋_GB2312" w:cs="Times New Roman"/>
                <w:color w:val="auto"/>
                <w:spacing w:val="0"/>
                <w:position w:val="0"/>
                <w:sz w:val="21"/>
                <w:szCs w:val="21"/>
              </w:rPr>
              <w:t>职业病诊断机构</w:t>
            </w:r>
          </w:p>
        </w:tc>
        <w:tc>
          <w:tcPr>
            <w:tcW w:w="960" w:type="dxa"/>
            <w:noWrap w:val="0"/>
            <w:vAlign w:val="center"/>
          </w:tcPr>
          <w:p w14:paraId="78F77EEA">
            <w:pPr>
              <w:keepNext w:val="0"/>
              <w:keepLines w:val="0"/>
              <w:pageBreakBefore w:val="0"/>
              <w:widowControl w:val="0"/>
              <w:kinsoku/>
              <w:wordWrap/>
              <w:overflowPunct/>
              <w:topLinePunct w:val="0"/>
              <w:autoSpaceDE/>
              <w:autoSpaceDN/>
              <w:bidi w:val="0"/>
              <w:adjustRightInd/>
              <w:snapToGrid/>
              <w:spacing w:line="274" w:lineRule="exact"/>
              <w:ind w:left="96" w:leftChars="30" w:right="96" w:rightChars="30" w:firstLine="0"/>
              <w:jc w:val="center"/>
              <w:textAlignment w:val="auto"/>
              <w:rPr>
                <w:rFonts w:ascii="Times New Roman" w:hAnsi="Times New Roman" w:eastAsia="仿宋_GB2312" w:cs="Times New Roman"/>
                <w:color w:val="auto"/>
                <w:spacing w:val="0"/>
                <w:position w:val="0"/>
                <w:sz w:val="21"/>
                <w:szCs w:val="21"/>
              </w:rPr>
            </w:pPr>
            <w:r>
              <w:rPr>
                <w:rFonts w:hint="default" w:ascii="Times New Roman" w:hAnsi="Times New Roman" w:eastAsia="仿宋_GB2312" w:cs="Times New Roman"/>
                <w:color w:val="auto"/>
                <w:spacing w:val="0"/>
                <w:position w:val="0"/>
                <w:sz w:val="21"/>
                <w:szCs w:val="21"/>
              </w:rPr>
              <w:t>60%</w:t>
            </w:r>
          </w:p>
        </w:tc>
        <w:tc>
          <w:tcPr>
            <w:tcW w:w="9718" w:type="dxa"/>
            <w:vMerge w:val="continue"/>
            <w:tcBorders>
              <w:top w:val="nil"/>
            </w:tcBorders>
            <w:noWrap w:val="0"/>
            <w:vAlign w:val="center"/>
          </w:tcPr>
          <w:p w14:paraId="106757D4">
            <w:pPr>
              <w:keepNext w:val="0"/>
              <w:keepLines w:val="0"/>
              <w:pageBreakBefore w:val="0"/>
              <w:widowControl w:val="0"/>
              <w:kinsoku/>
              <w:wordWrap/>
              <w:overflowPunct/>
              <w:topLinePunct w:val="0"/>
              <w:autoSpaceDE/>
              <w:autoSpaceDN/>
              <w:bidi w:val="0"/>
              <w:adjustRightInd/>
              <w:snapToGrid/>
              <w:ind w:left="96" w:leftChars="30" w:right="96" w:rightChars="30" w:firstLine="0"/>
              <w:textAlignment w:val="auto"/>
              <w:rPr>
                <w:rFonts w:ascii="Times New Roman" w:hAnsi="Times New Roman" w:eastAsia="仿宋_GB2312" w:cs="Times New Roman"/>
                <w:color w:val="auto"/>
                <w:spacing w:val="0"/>
                <w:position w:val="0"/>
                <w:sz w:val="21"/>
                <w:szCs w:val="21"/>
              </w:rPr>
            </w:pPr>
          </w:p>
        </w:tc>
        <w:tc>
          <w:tcPr>
            <w:tcW w:w="1163" w:type="dxa"/>
            <w:vMerge w:val="continue"/>
            <w:tcBorders>
              <w:top w:val="nil"/>
            </w:tcBorders>
            <w:noWrap w:val="0"/>
            <w:vAlign w:val="center"/>
          </w:tcPr>
          <w:p w14:paraId="4EFDDCD2">
            <w:pPr>
              <w:keepNext w:val="0"/>
              <w:keepLines w:val="0"/>
              <w:pageBreakBefore w:val="0"/>
              <w:widowControl w:val="0"/>
              <w:kinsoku/>
              <w:wordWrap/>
              <w:overflowPunct/>
              <w:topLinePunct w:val="0"/>
              <w:autoSpaceDE/>
              <w:autoSpaceDN/>
              <w:bidi w:val="0"/>
              <w:adjustRightInd/>
              <w:snapToGrid/>
              <w:ind w:left="96" w:leftChars="30" w:right="96" w:rightChars="30" w:firstLine="0"/>
              <w:textAlignment w:val="auto"/>
              <w:rPr>
                <w:rFonts w:ascii="Times New Roman" w:hAnsi="Times New Roman" w:eastAsia="仿宋_GB2312" w:cs="Times New Roman"/>
                <w:color w:val="auto"/>
                <w:spacing w:val="0"/>
                <w:position w:val="0"/>
                <w:sz w:val="21"/>
                <w:szCs w:val="21"/>
              </w:rPr>
            </w:pPr>
          </w:p>
        </w:tc>
      </w:tr>
    </w:tbl>
    <w:p w14:paraId="313A0C88">
      <w:pPr>
        <w:keepNext w:val="0"/>
        <w:keepLines w:val="0"/>
        <w:pageBreakBefore w:val="0"/>
        <w:widowControl w:val="0"/>
        <w:topLinePunct w:val="0"/>
        <w:bidi w:val="0"/>
        <w:adjustRightInd/>
        <w:snapToGrid/>
        <w:rPr>
          <w:rFonts w:ascii="Arial"/>
          <w:color w:val="auto"/>
          <w:sz w:val="21"/>
        </w:rPr>
      </w:pPr>
    </w:p>
    <w:p w14:paraId="5437CCDB">
      <w:pPr>
        <w:keepNext w:val="0"/>
        <w:keepLines w:val="0"/>
        <w:pageBreakBefore w:val="0"/>
        <w:widowControl w:val="0"/>
        <w:topLinePunct w:val="0"/>
        <w:bidi w:val="0"/>
        <w:adjustRightInd/>
        <w:snapToGrid/>
        <w:spacing w:before="101" w:line="228" w:lineRule="auto"/>
        <w:ind w:left="187"/>
        <w:rPr>
          <w:rFonts w:ascii="Times New Roman" w:hAnsi="Times New Roman" w:eastAsia="Times New Roman" w:cs="Times New Roman"/>
          <w:color w:val="auto"/>
          <w:sz w:val="32"/>
          <w:szCs w:val="32"/>
        </w:rPr>
      </w:pPr>
      <w:r>
        <w:rPr>
          <w:rFonts w:ascii="黑体" w:hAnsi="黑体" w:eastAsia="黑体" w:cs="黑体"/>
          <w:color w:val="auto"/>
          <w:spacing w:val="-4"/>
          <w:sz w:val="32"/>
          <w:szCs w:val="32"/>
        </w:rPr>
        <w:br w:type="page"/>
      </w:r>
      <w:r>
        <w:rPr>
          <w:rFonts w:ascii="黑体" w:hAnsi="黑体" w:eastAsia="黑体" w:cs="黑体"/>
          <w:color w:val="auto"/>
          <w:spacing w:val="-4"/>
          <w:sz w:val="32"/>
          <w:szCs w:val="32"/>
        </w:rPr>
        <w:t>附表</w:t>
      </w:r>
      <w:r>
        <w:rPr>
          <w:rFonts w:hint="default" w:ascii="Times New Roman" w:hAnsi="Times New Roman" w:eastAsia="Times New Roman" w:cs="Times New Roman"/>
          <w:color w:val="auto"/>
          <w:spacing w:val="-4"/>
          <w:sz w:val="32"/>
          <w:szCs w:val="32"/>
        </w:rPr>
        <w:t>6</w:t>
      </w:r>
    </w:p>
    <w:p w14:paraId="542B9E72">
      <w:pPr>
        <w:keepNext w:val="0"/>
        <w:keepLines w:val="0"/>
        <w:pageBreakBefore w:val="0"/>
        <w:widowControl w:val="0"/>
        <w:topLinePunct w:val="0"/>
        <w:bidi w:val="0"/>
        <w:adjustRightInd/>
        <w:snapToGrid/>
        <w:spacing w:before="206" w:line="223" w:lineRule="auto"/>
        <w:ind w:left="2715"/>
        <w:rPr>
          <w:rFonts w:hint="eastAsia" w:ascii="方正小标宋简体" w:hAnsi="方正小标宋简体" w:eastAsia="方正小标宋简体" w:cs="方正小标宋简体"/>
          <w:b w:val="0"/>
          <w:bCs w:val="0"/>
          <w:color w:val="auto"/>
          <w:sz w:val="44"/>
          <w:szCs w:val="44"/>
        </w:rPr>
      </w:pPr>
      <w:r>
        <w:rPr>
          <w:rFonts w:hint="default" w:ascii="Times New Roman" w:hAnsi="Times New Roman" w:eastAsia="方正小标宋简体" w:cs="Times New Roman"/>
          <w:b w:val="0"/>
          <w:bCs w:val="0"/>
          <w:color w:val="auto"/>
          <w:spacing w:val="4"/>
          <w:sz w:val="44"/>
          <w:szCs w:val="44"/>
        </w:rPr>
        <w:t>2025</w:t>
      </w:r>
      <w:r>
        <w:rPr>
          <w:rFonts w:hint="eastAsia" w:ascii="方正小标宋简体" w:hAnsi="方正小标宋简体" w:eastAsia="方正小标宋简体" w:cs="方正小标宋简体"/>
          <w:b w:val="0"/>
          <w:bCs w:val="0"/>
          <w:color w:val="auto"/>
          <w:spacing w:val="4"/>
          <w:sz w:val="44"/>
          <w:szCs w:val="44"/>
        </w:rPr>
        <w:t>年放射诊疗机构国家随机监督抽查汇总表</w:t>
      </w:r>
    </w:p>
    <w:p w14:paraId="6A1C2F2E">
      <w:pPr>
        <w:keepNext w:val="0"/>
        <w:keepLines w:val="0"/>
        <w:pageBreakBefore w:val="0"/>
        <w:widowControl w:val="0"/>
        <w:topLinePunct w:val="0"/>
        <w:bidi w:val="0"/>
        <w:adjustRightInd/>
        <w:snapToGrid/>
        <w:spacing w:line="185" w:lineRule="exact"/>
        <w:rPr>
          <w:color w:val="auto"/>
        </w:rPr>
      </w:pPr>
    </w:p>
    <w:tbl>
      <w:tblPr>
        <w:tblStyle w:val="13"/>
        <w:tblW w:w="14329" w:type="dxa"/>
        <w:tblInd w:w="1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703"/>
        <w:gridCol w:w="596"/>
        <w:gridCol w:w="809"/>
        <w:gridCol w:w="704"/>
        <w:gridCol w:w="704"/>
        <w:gridCol w:w="704"/>
        <w:gridCol w:w="767"/>
        <w:gridCol w:w="849"/>
        <w:gridCol w:w="848"/>
        <w:gridCol w:w="714"/>
        <w:gridCol w:w="704"/>
        <w:gridCol w:w="709"/>
        <w:gridCol w:w="713"/>
        <w:gridCol w:w="718"/>
        <w:gridCol w:w="649"/>
        <w:gridCol w:w="840"/>
        <w:gridCol w:w="822"/>
        <w:gridCol w:w="673"/>
      </w:tblGrid>
      <w:tr w14:paraId="17908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103" w:type="dxa"/>
            <w:vMerge w:val="restart"/>
            <w:tcBorders>
              <w:bottom w:val="nil"/>
            </w:tcBorders>
            <w:noWrap w:val="0"/>
            <w:vAlign w:val="center"/>
          </w:tcPr>
          <w:p w14:paraId="4D78E492">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单位类别</w:t>
            </w:r>
          </w:p>
        </w:tc>
        <w:tc>
          <w:tcPr>
            <w:tcW w:w="703" w:type="dxa"/>
            <w:vMerge w:val="restart"/>
            <w:tcBorders>
              <w:bottom w:val="nil"/>
            </w:tcBorders>
            <w:noWrap w:val="0"/>
            <w:vAlign w:val="center"/>
          </w:tcPr>
          <w:p w14:paraId="7CCA3EA9">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辖区内单位总数</w:t>
            </w:r>
          </w:p>
        </w:tc>
        <w:tc>
          <w:tcPr>
            <w:tcW w:w="596" w:type="dxa"/>
            <w:vMerge w:val="restart"/>
            <w:tcBorders>
              <w:bottom w:val="nil"/>
            </w:tcBorders>
            <w:noWrap w:val="0"/>
            <w:textDirection w:val="tbRlV"/>
            <w:vAlign w:val="center"/>
          </w:tcPr>
          <w:p w14:paraId="7A621131">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检查单位数</w:t>
            </w:r>
          </w:p>
        </w:tc>
        <w:tc>
          <w:tcPr>
            <w:tcW w:w="10432" w:type="dxa"/>
            <w:gridSpan w:val="14"/>
            <w:noWrap w:val="0"/>
            <w:vAlign w:val="center"/>
          </w:tcPr>
          <w:p w14:paraId="7D752D2D">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不合格情况</w:t>
            </w:r>
          </w:p>
        </w:tc>
        <w:tc>
          <w:tcPr>
            <w:tcW w:w="1495" w:type="dxa"/>
            <w:gridSpan w:val="2"/>
            <w:noWrap w:val="0"/>
            <w:vAlign w:val="center"/>
          </w:tcPr>
          <w:p w14:paraId="61E9D450">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行政处罚情况</w:t>
            </w:r>
          </w:p>
        </w:tc>
      </w:tr>
      <w:tr w14:paraId="4C8B6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8" w:hRule="atLeast"/>
        </w:trPr>
        <w:tc>
          <w:tcPr>
            <w:tcW w:w="1103" w:type="dxa"/>
            <w:vMerge w:val="continue"/>
            <w:tcBorders>
              <w:top w:val="nil"/>
            </w:tcBorders>
            <w:noWrap w:val="0"/>
            <w:vAlign w:val="center"/>
          </w:tcPr>
          <w:p w14:paraId="4D101B8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3" w:type="dxa"/>
            <w:vMerge w:val="continue"/>
            <w:tcBorders>
              <w:top w:val="nil"/>
            </w:tcBorders>
            <w:noWrap w:val="0"/>
            <w:vAlign w:val="center"/>
          </w:tcPr>
          <w:p w14:paraId="67EDF3C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596" w:type="dxa"/>
            <w:vMerge w:val="continue"/>
            <w:tcBorders>
              <w:top w:val="nil"/>
            </w:tcBorders>
            <w:noWrap w:val="0"/>
            <w:textDirection w:val="tbRlV"/>
            <w:vAlign w:val="center"/>
          </w:tcPr>
          <w:p w14:paraId="2CAE957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09" w:type="dxa"/>
            <w:noWrap w:val="0"/>
            <w:vAlign w:val="center"/>
          </w:tcPr>
          <w:p w14:paraId="39A12D5D">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放射诊疗建设项目不符合有关规定单位数</w:t>
            </w:r>
          </w:p>
        </w:tc>
        <w:tc>
          <w:tcPr>
            <w:tcW w:w="704" w:type="dxa"/>
            <w:noWrap w:val="0"/>
            <w:vAlign w:val="center"/>
          </w:tcPr>
          <w:p w14:paraId="48A47401">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放射诊疗场所及其防护措施不符合有关规定单位数</w:t>
            </w:r>
          </w:p>
        </w:tc>
        <w:tc>
          <w:tcPr>
            <w:tcW w:w="704" w:type="dxa"/>
            <w:noWrap w:val="0"/>
            <w:vAlign w:val="center"/>
          </w:tcPr>
          <w:p w14:paraId="5E25FAC8">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放射诊疗设备及配套设施不符合有关规定单位数</w:t>
            </w:r>
          </w:p>
        </w:tc>
        <w:tc>
          <w:tcPr>
            <w:tcW w:w="704" w:type="dxa"/>
            <w:noWrap w:val="0"/>
            <w:vAlign w:val="center"/>
          </w:tcPr>
          <w:p w14:paraId="76C97FD9">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放射工作人员管理不符合有关规定单位数</w:t>
            </w:r>
          </w:p>
        </w:tc>
        <w:tc>
          <w:tcPr>
            <w:tcW w:w="767" w:type="dxa"/>
            <w:noWrap w:val="0"/>
            <w:vAlign w:val="center"/>
          </w:tcPr>
          <w:p w14:paraId="7E829214">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开展放射诊疗的人员条件不符合有关规定单位数</w:t>
            </w:r>
          </w:p>
        </w:tc>
        <w:tc>
          <w:tcPr>
            <w:tcW w:w="849" w:type="dxa"/>
            <w:noWrap w:val="0"/>
            <w:vAlign w:val="center"/>
          </w:tcPr>
          <w:p w14:paraId="2110C87C">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对患者、受检者及其他非放射工作人员的保护不符合有关规定单位数</w:t>
            </w:r>
          </w:p>
        </w:tc>
        <w:tc>
          <w:tcPr>
            <w:tcW w:w="848" w:type="dxa"/>
            <w:noWrap w:val="0"/>
            <w:vAlign w:val="center"/>
          </w:tcPr>
          <w:p w14:paraId="09BD10C3">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放射事件预防处置不符合有关规定单位数</w:t>
            </w:r>
          </w:p>
        </w:tc>
        <w:tc>
          <w:tcPr>
            <w:tcW w:w="714" w:type="dxa"/>
            <w:noWrap w:val="0"/>
            <w:vAlign w:val="center"/>
          </w:tcPr>
          <w:p w14:paraId="7E742C47">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职业病人管理不符合有关规定单位数</w:t>
            </w:r>
          </w:p>
        </w:tc>
        <w:tc>
          <w:tcPr>
            <w:tcW w:w="704" w:type="dxa"/>
            <w:noWrap w:val="0"/>
            <w:vAlign w:val="center"/>
          </w:tcPr>
          <w:p w14:paraId="0D53C514">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档案管理与体系建设不符合有关规定单位数</w:t>
            </w:r>
          </w:p>
        </w:tc>
        <w:tc>
          <w:tcPr>
            <w:tcW w:w="709" w:type="dxa"/>
            <w:noWrap w:val="0"/>
            <w:vAlign w:val="center"/>
          </w:tcPr>
          <w:p w14:paraId="11EC23A1">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hint="default" w:ascii="Times New Roman" w:hAnsi="Times New Roman" w:eastAsia="仿宋_GB2312" w:cs="Times New Roman"/>
                <w:color w:val="auto"/>
                <w:spacing w:val="0"/>
                <w:sz w:val="18"/>
                <w:szCs w:val="18"/>
              </w:rPr>
              <w:t>X</w:t>
            </w:r>
            <w:r>
              <w:rPr>
                <w:rFonts w:eastAsia="仿宋_GB2312"/>
                <w:color w:val="auto"/>
                <w:spacing w:val="0"/>
                <w:sz w:val="18"/>
                <w:szCs w:val="18"/>
              </w:rPr>
              <w:t>射线诊断管理不符合有关规定单位数</w:t>
            </w:r>
          </w:p>
        </w:tc>
        <w:tc>
          <w:tcPr>
            <w:tcW w:w="713" w:type="dxa"/>
            <w:noWrap w:val="0"/>
            <w:vAlign w:val="center"/>
          </w:tcPr>
          <w:p w14:paraId="47454BA8">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介入放射诊疗管理不符合有关规定单位数</w:t>
            </w:r>
          </w:p>
        </w:tc>
        <w:tc>
          <w:tcPr>
            <w:tcW w:w="718" w:type="dxa"/>
            <w:noWrap w:val="0"/>
            <w:vAlign w:val="center"/>
          </w:tcPr>
          <w:p w14:paraId="6F493CD0">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核医学诊疗管理不符合有关规定单位数</w:t>
            </w:r>
          </w:p>
        </w:tc>
        <w:tc>
          <w:tcPr>
            <w:tcW w:w="649" w:type="dxa"/>
            <w:noWrap w:val="0"/>
            <w:vAlign w:val="center"/>
          </w:tcPr>
          <w:p w14:paraId="0D8D7452">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放射治疗管理不符合有关规定单位数</w:t>
            </w:r>
          </w:p>
        </w:tc>
        <w:tc>
          <w:tcPr>
            <w:tcW w:w="840" w:type="dxa"/>
            <w:noWrap w:val="0"/>
            <w:vAlign w:val="center"/>
          </w:tcPr>
          <w:p w14:paraId="2C03D4DD">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管理制度不符合有关规定单位数</w:t>
            </w:r>
          </w:p>
        </w:tc>
        <w:tc>
          <w:tcPr>
            <w:tcW w:w="822" w:type="dxa"/>
            <w:noWrap w:val="0"/>
            <w:vAlign w:val="center"/>
          </w:tcPr>
          <w:p w14:paraId="6143E07C">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案件查处数</w:t>
            </w:r>
          </w:p>
        </w:tc>
        <w:tc>
          <w:tcPr>
            <w:tcW w:w="673" w:type="dxa"/>
            <w:noWrap w:val="0"/>
            <w:vAlign w:val="center"/>
          </w:tcPr>
          <w:p w14:paraId="21388CE3">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罚没款金额</w:t>
            </w:r>
            <w:r>
              <w:rPr>
                <w:rFonts w:eastAsia="仿宋_GB2312"/>
                <w:color w:val="auto"/>
                <w:spacing w:val="0"/>
                <w:sz w:val="18"/>
                <w:szCs w:val="18"/>
              </w:rPr>
              <w:br w:type="textWrapping"/>
            </w:r>
            <w:r>
              <w:rPr>
                <w:rFonts w:eastAsia="仿宋_GB2312"/>
                <w:color w:val="auto"/>
                <w:spacing w:val="0"/>
                <w:sz w:val="18"/>
                <w:szCs w:val="18"/>
              </w:rPr>
              <w:t>（万</w:t>
            </w:r>
          </w:p>
          <w:p w14:paraId="15A9ACCF">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元）</w:t>
            </w:r>
          </w:p>
        </w:tc>
      </w:tr>
      <w:tr w14:paraId="7A043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103" w:type="dxa"/>
            <w:noWrap w:val="0"/>
            <w:vAlign w:val="center"/>
          </w:tcPr>
          <w:p w14:paraId="09F8F90B">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放射诊疗机构</w:t>
            </w:r>
          </w:p>
        </w:tc>
        <w:tc>
          <w:tcPr>
            <w:tcW w:w="703" w:type="dxa"/>
            <w:noWrap w:val="0"/>
            <w:vAlign w:val="center"/>
          </w:tcPr>
          <w:p w14:paraId="6CBC9D5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596" w:type="dxa"/>
            <w:noWrap w:val="0"/>
            <w:vAlign w:val="center"/>
          </w:tcPr>
          <w:p w14:paraId="756444F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09" w:type="dxa"/>
            <w:noWrap w:val="0"/>
            <w:vAlign w:val="center"/>
          </w:tcPr>
          <w:p w14:paraId="52A4366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4" w:type="dxa"/>
            <w:noWrap w:val="0"/>
            <w:vAlign w:val="center"/>
          </w:tcPr>
          <w:p w14:paraId="31A40A3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4" w:type="dxa"/>
            <w:noWrap w:val="0"/>
            <w:vAlign w:val="center"/>
          </w:tcPr>
          <w:p w14:paraId="4193E32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4" w:type="dxa"/>
            <w:noWrap w:val="0"/>
            <w:vAlign w:val="center"/>
          </w:tcPr>
          <w:p w14:paraId="768B046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67" w:type="dxa"/>
            <w:noWrap w:val="0"/>
            <w:vAlign w:val="center"/>
          </w:tcPr>
          <w:p w14:paraId="37799E3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49" w:type="dxa"/>
            <w:noWrap w:val="0"/>
            <w:vAlign w:val="center"/>
          </w:tcPr>
          <w:p w14:paraId="54F0862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48" w:type="dxa"/>
            <w:noWrap w:val="0"/>
            <w:vAlign w:val="center"/>
          </w:tcPr>
          <w:p w14:paraId="44C41A0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14" w:type="dxa"/>
            <w:noWrap w:val="0"/>
            <w:vAlign w:val="center"/>
          </w:tcPr>
          <w:p w14:paraId="56B34AC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4" w:type="dxa"/>
            <w:noWrap w:val="0"/>
            <w:vAlign w:val="center"/>
          </w:tcPr>
          <w:p w14:paraId="11FF096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9" w:type="dxa"/>
            <w:noWrap w:val="0"/>
            <w:vAlign w:val="center"/>
          </w:tcPr>
          <w:p w14:paraId="7DF1C83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13" w:type="dxa"/>
            <w:noWrap w:val="0"/>
            <w:vAlign w:val="center"/>
          </w:tcPr>
          <w:p w14:paraId="200F699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18" w:type="dxa"/>
            <w:noWrap w:val="0"/>
            <w:vAlign w:val="center"/>
          </w:tcPr>
          <w:p w14:paraId="524F2AC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649" w:type="dxa"/>
            <w:noWrap w:val="0"/>
            <w:vAlign w:val="center"/>
          </w:tcPr>
          <w:p w14:paraId="6DFB082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40" w:type="dxa"/>
            <w:noWrap w:val="0"/>
            <w:vAlign w:val="center"/>
          </w:tcPr>
          <w:p w14:paraId="191B27D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22" w:type="dxa"/>
            <w:noWrap w:val="0"/>
            <w:vAlign w:val="center"/>
          </w:tcPr>
          <w:p w14:paraId="167F2E7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673" w:type="dxa"/>
            <w:noWrap w:val="0"/>
            <w:vAlign w:val="center"/>
          </w:tcPr>
          <w:p w14:paraId="4815B0F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r>
      <w:tr w14:paraId="6FBC9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103" w:type="dxa"/>
            <w:noWrap w:val="0"/>
            <w:vAlign w:val="center"/>
          </w:tcPr>
          <w:p w14:paraId="17755129">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eastAsia="仿宋_GB2312"/>
                <w:color w:val="auto"/>
                <w:spacing w:val="0"/>
                <w:sz w:val="18"/>
                <w:szCs w:val="18"/>
              </w:rPr>
            </w:pPr>
            <w:r>
              <w:rPr>
                <w:rFonts w:eastAsia="仿宋_GB2312"/>
                <w:color w:val="auto"/>
                <w:spacing w:val="0"/>
                <w:sz w:val="18"/>
                <w:szCs w:val="18"/>
              </w:rPr>
              <w:t>合计</w:t>
            </w:r>
          </w:p>
        </w:tc>
        <w:tc>
          <w:tcPr>
            <w:tcW w:w="703" w:type="dxa"/>
            <w:noWrap w:val="0"/>
            <w:vAlign w:val="center"/>
          </w:tcPr>
          <w:p w14:paraId="16CED1E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596" w:type="dxa"/>
            <w:noWrap w:val="0"/>
            <w:vAlign w:val="center"/>
          </w:tcPr>
          <w:p w14:paraId="77102F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09" w:type="dxa"/>
            <w:noWrap w:val="0"/>
            <w:vAlign w:val="center"/>
          </w:tcPr>
          <w:p w14:paraId="432B5A8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4" w:type="dxa"/>
            <w:noWrap w:val="0"/>
            <w:vAlign w:val="center"/>
          </w:tcPr>
          <w:p w14:paraId="4C2E573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4" w:type="dxa"/>
            <w:noWrap w:val="0"/>
            <w:vAlign w:val="center"/>
          </w:tcPr>
          <w:p w14:paraId="3F68E1C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4" w:type="dxa"/>
            <w:noWrap w:val="0"/>
            <w:vAlign w:val="center"/>
          </w:tcPr>
          <w:p w14:paraId="09DCD65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67" w:type="dxa"/>
            <w:noWrap w:val="0"/>
            <w:vAlign w:val="center"/>
          </w:tcPr>
          <w:p w14:paraId="1470347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49" w:type="dxa"/>
            <w:noWrap w:val="0"/>
            <w:vAlign w:val="center"/>
          </w:tcPr>
          <w:p w14:paraId="037EA10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48" w:type="dxa"/>
            <w:noWrap w:val="0"/>
            <w:vAlign w:val="center"/>
          </w:tcPr>
          <w:p w14:paraId="305A6F8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14" w:type="dxa"/>
            <w:noWrap w:val="0"/>
            <w:vAlign w:val="center"/>
          </w:tcPr>
          <w:p w14:paraId="14DCB26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4" w:type="dxa"/>
            <w:noWrap w:val="0"/>
            <w:vAlign w:val="center"/>
          </w:tcPr>
          <w:p w14:paraId="7088742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09" w:type="dxa"/>
            <w:noWrap w:val="0"/>
            <w:vAlign w:val="center"/>
          </w:tcPr>
          <w:p w14:paraId="2167CF9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13" w:type="dxa"/>
            <w:noWrap w:val="0"/>
            <w:vAlign w:val="center"/>
          </w:tcPr>
          <w:p w14:paraId="3FDFB18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718" w:type="dxa"/>
            <w:noWrap w:val="0"/>
            <w:vAlign w:val="center"/>
          </w:tcPr>
          <w:p w14:paraId="644DCCD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649" w:type="dxa"/>
            <w:noWrap w:val="0"/>
            <w:vAlign w:val="center"/>
          </w:tcPr>
          <w:p w14:paraId="2628080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40" w:type="dxa"/>
            <w:noWrap w:val="0"/>
            <w:vAlign w:val="center"/>
          </w:tcPr>
          <w:p w14:paraId="45DD01D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822" w:type="dxa"/>
            <w:noWrap w:val="0"/>
            <w:vAlign w:val="center"/>
          </w:tcPr>
          <w:p w14:paraId="6325012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c>
          <w:tcPr>
            <w:tcW w:w="673" w:type="dxa"/>
            <w:noWrap w:val="0"/>
            <w:vAlign w:val="center"/>
          </w:tcPr>
          <w:p w14:paraId="2AAB066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Arial" w:eastAsia="仿宋_GB2312"/>
                <w:color w:val="auto"/>
                <w:spacing w:val="0"/>
                <w:sz w:val="18"/>
                <w:szCs w:val="18"/>
              </w:rPr>
            </w:pPr>
          </w:p>
        </w:tc>
      </w:tr>
    </w:tbl>
    <w:p w14:paraId="2A0AD212">
      <w:pPr>
        <w:keepNext w:val="0"/>
        <w:keepLines w:val="0"/>
        <w:pageBreakBefore w:val="0"/>
        <w:widowControl w:val="0"/>
        <w:topLinePunct w:val="0"/>
        <w:bidi w:val="0"/>
        <w:adjustRightInd/>
        <w:snapToGrid/>
        <w:rPr>
          <w:rFonts w:ascii="Arial" w:eastAsia="仿宋_GB2312"/>
          <w:color w:val="auto"/>
          <w:sz w:val="21"/>
          <w:szCs w:val="21"/>
        </w:rPr>
      </w:pPr>
    </w:p>
    <w:p w14:paraId="3309DC21">
      <w:pPr>
        <w:keepNext w:val="0"/>
        <w:keepLines w:val="0"/>
        <w:pageBreakBefore w:val="0"/>
        <w:widowControl w:val="0"/>
        <w:topLinePunct w:val="0"/>
        <w:bidi w:val="0"/>
        <w:adjustRightInd/>
        <w:snapToGrid/>
        <w:spacing w:line="278" w:lineRule="auto"/>
        <w:rPr>
          <w:rFonts w:ascii="Times New Roman" w:hAnsi="Times New Roman" w:eastAsia="Times New Roman" w:cs="Times New Roman"/>
          <w:color w:val="auto"/>
          <w:sz w:val="32"/>
          <w:szCs w:val="32"/>
        </w:rPr>
      </w:pPr>
      <w:r>
        <w:rPr>
          <w:rFonts w:ascii="Arial"/>
          <w:color w:val="auto"/>
          <w:sz w:val="21"/>
        </w:rPr>
        <w:br w:type="page"/>
      </w:r>
      <w:r>
        <w:rPr>
          <w:rFonts w:ascii="黑体" w:hAnsi="黑体" w:eastAsia="黑体" w:cs="黑体"/>
          <w:color w:val="auto"/>
          <w:spacing w:val="-4"/>
          <w:sz w:val="32"/>
          <w:szCs w:val="32"/>
        </w:rPr>
        <w:t>附表</w:t>
      </w:r>
      <w:r>
        <w:rPr>
          <w:rFonts w:hint="default" w:ascii="Times New Roman" w:hAnsi="Times New Roman" w:eastAsia="Times New Roman" w:cs="Times New Roman"/>
          <w:color w:val="auto"/>
          <w:spacing w:val="-4"/>
          <w:sz w:val="32"/>
          <w:szCs w:val="32"/>
        </w:rPr>
        <w:t>7</w:t>
      </w:r>
    </w:p>
    <w:p w14:paraId="0B3BD983">
      <w:pPr>
        <w:keepNext w:val="0"/>
        <w:keepLines w:val="0"/>
        <w:pageBreakBefore w:val="0"/>
        <w:widowControl w:val="0"/>
        <w:topLinePunct w:val="0"/>
        <w:bidi w:val="0"/>
        <w:adjustRightInd/>
        <w:snapToGrid/>
        <w:spacing w:before="205" w:line="224" w:lineRule="auto"/>
        <w:ind w:left="469"/>
        <w:rPr>
          <w:rFonts w:hint="eastAsia" w:ascii="方正小标宋简体" w:hAnsi="方正小标宋简体" w:eastAsia="方正小标宋简体" w:cs="方正小标宋简体"/>
          <w:b w:val="0"/>
          <w:bCs w:val="0"/>
          <w:color w:val="auto"/>
          <w:sz w:val="44"/>
          <w:szCs w:val="44"/>
        </w:rPr>
      </w:pPr>
      <w:r>
        <w:rPr>
          <w:rFonts w:hint="default" w:ascii="Times New Roman" w:hAnsi="Times New Roman" w:eastAsia="方正小标宋简体" w:cs="Times New Roman"/>
          <w:b w:val="0"/>
          <w:bCs w:val="0"/>
          <w:color w:val="auto"/>
          <w:spacing w:val="5"/>
          <w:sz w:val="44"/>
          <w:szCs w:val="44"/>
        </w:rPr>
        <w:t>2025</w:t>
      </w:r>
      <w:r>
        <w:rPr>
          <w:rFonts w:hint="eastAsia" w:ascii="方正小标宋简体" w:hAnsi="方正小标宋简体" w:eastAsia="方正小标宋简体" w:cs="方正小标宋简体"/>
          <w:b w:val="0"/>
          <w:bCs w:val="0"/>
          <w:color w:val="auto"/>
          <w:spacing w:val="5"/>
          <w:sz w:val="44"/>
          <w:szCs w:val="44"/>
        </w:rPr>
        <w:t>年职业健康检查机构、职业病诊断机构国家随机监督抽查汇</w:t>
      </w:r>
      <w:r>
        <w:rPr>
          <w:rFonts w:hint="eastAsia" w:ascii="方正小标宋简体" w:hAnsi="方正小标宋简体" w:eastAsia="方正小标宋简体" w:cs="方正小标宋简体"/>
          <w:b w:val="0"/>
          <w:bCs w:val="0"/>
          <w:color w:val="auto"/>
          <w:spacing w:val="4"/>
          <w:sz w:val="44"/>
          <w:szCs w:val="44"/>
        </w:rPr>
        <w:t>总表</w:t>
      </w:r>
    </w:p>
    <w:tbl>
      <w:tblPr>
        <w:tblStyle w:val="13"/>
        <w:tblW w:w="144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5"/>
        <w:gridCol w:w="723"/>
        <w:gridCol w:w="777"/>
        <w:gridCol w:w="1159"/>
        <w:gridCol w:w="981"/>
        <w:gridCol w:w="941"/>
        <w:gridCol w:w="1090"/>
        <w:gridCol w:w="811"/>
        <w:gridCol w:w="1002"/>
        <w:gridCol w:w="1044"/>
        <w:gridCol w:w="933"/>
        <w:gridCol w:w="791"/>
        <w:gridCol w:w="1267"/>
        <w:gridCol w:w="450"/>
        <w:gridCol w:w="781"/>
      </w:tblGrid>
      <w:tr w14:paraId="31F25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jc w:val="center"/>
        </w:trPr>
        <w:tc>
          <w:tcPr>
            <w:tcW w:w="1725" w:type="dxa"/>
            <w:vMerge w:val="restart"/>
            <w:tcBorders>
              <w:bottom w:val="nil"/>
            </w:tcBorders>
            <w:noWrap w:val="0"/>
            <w:vAlign w:val="center"/>
          </w:tcPr>
          <w:p w14:paraId="3C9B7AE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23" w:type="dxa"/>
            <w:vMerge w:val="restart"/>
            <w:tcBorders>
              <w:bottom w:val="nil"/>
            </w:tcBorders>
            <w:noWrap w:val="0"/>
            <w:vAlign w:val="center"/>
          </w:tcPr>
          <w:p w14:paraId="3C2FFC42">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辖区内单位总数</w:t>
            </w:r>
          </w:p>
        </w:tc>
        <w:tc>
          <w:tcPr>
            <w:tcW w:w="777" w:type="dxa"/>
            <w:vMerge w:val="restart"/>
            <w:tcBorders>
              <w:bottom w:val="nil"/>
            </w:tcBorders>
            <w:noWrap w:val="0"/>
            <w:vAlign w:val="center"/>
          </w:tcPr>
          <w:p w14:paraId="5BDEC7FF">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检查单位数</w:t>
            </w:r>
          </w:p>
        </w:tc>
        <w:tc>
          <w:tcPr>
            <w:tcW w:w="10019" w:type="dxa"/>
            <w:gridSpan w:val="10"/>
            <w:noWrap w:val="0"/>
            <w:vAlign w:val="center"/>
          </w:tcPr>
          <w:p w14:paraId="693EFBFE">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不合格情况</w:t>
            </w:r>
          </w:p>
        </w:tc>
        <w:tc>
          <w:tcPr>
            <w:tcW w:w="1231" w:type="dxa"/>
            <w:gridSpan w:val="2"/>
            <w:noWrap w:val="0"/>
            <w:vAlign w:val="center"/>
          </w:tcPr>
          <w:p w14:paraId="0D3D3F5E">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行政处罚</w:t>
            </w:r>
            <w:r>
              <w:rPr>
                <w:rFonts w:hint="eastAsia" w:ascii="仿宋_GB2312" w:hAnsi="仿宋_GB2312" w:eastAsia="仿宋_GB2312" w:cs="仿宋_GB2312"/>
                <w:color w:val="auto"/>
                <w:spacing w:val="0"/>
                <w:w w:val="100"/>
                <w:sz w:val="21"/>
                <w:szCs w:val="21"/>
              </w:rPr>
              <w:br w:type="textWrapping"/>
            </w:r>
            <w:r>
              <w:rPr>
                <w:rFonts w:hint="eastAsia" w:ascii="仿宋_GB2312" w:hAnsi="仿宋_GB2312" w:eastAsia="仿宋_GB2312" w:cs="仿宋_GB2312"/>
                <w:color w:val="auto"/>
                <w:spacing w:val="0"/>
                <w:w w:val="100"/>
                <w:sz w:val="21"/>
                <w:szCs w:val="21"/>
              </w:rPr>
              <w:t>情况</w:t>
            </w:r>
          </w:p>
        </w:tc>
      </w:tr>
      <w:tr w14:paraId="07DA3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5" w:hRule="atLeast"/>
          <w:jc w:val="center"/>
        </w:trPr>
        <w:tc>
          <w:tcPr>
            <w:tcW w:w="1725" w:type="dxa"/>
            <w:vMerge w:val="continue"/>
            <w:tcBorders>
              <w:top w:val="nil"/>
            </w:tcBorders>
            <w:noWrap w:val="0"/>
            <w:vAlign w:val="center"/>
          </w:tcPr>
          <w:p w14:paraId="7BC1B14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23" w:type="dxa"/>
            <w:vMerge w:val="continue"/>
            <w:tcBorders>
              <w:top w:val="nil"/>
            </w:tcBorders>
            <w:noWrap w:val="0"/>
            <w:vAlign w:val="center"/>
          </w:tcPr>
          <w:p w14:paraId="2C40902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77" w:type="dxa"/>
            <w:vMerge w:val="continue"/>
            <w:tcBorders>
              <w:top w:val="nil"/>
            </w:tcBorders>
            <w:noWrap w:val="0"/>
            <w:vAlign w:val="center"/>
          </w:tcPr>
          <w:p w14:paraId="53400FD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159" w:type="dxa"/>
            <w:noWrap w:val="0"/>
            <w:vAlign w:val="center"/>
          </w:tcPr>
          <w:p w14:paraId="4FA995C6">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未在备案范围内开展工作单位数</w:t>
            </w:r>
          </w:p>
        </w:tc>
        <w:tc>
          <w:tcPr>
            <w:tcW w:w="981" w:type="dxa"/>
            <w:noWrap w:val="0"/>
            <w:vAlign w:val="center"/>
          </w:tcPr>
          <w:p w14:paraId="1E9C5C36">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出具的报告书、诊断证明书不符合相关要求单位数</w:t>
            </w:r>
          </w:p>
        </w:tc>
        <w:tc>
          <w:tcPr>
            <w:tcW w:w="941" w:type="dxa"/>
            <w:noWrap w:val="0"/>
            <w:vAlign w:val="center"/>
          </w:tcPr>
          <w:p w14:paraId="57AD3800">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人员不能满足工作要求单位数</w:t>
            </w:r>
          </w:p>
        </w:tc>
        <w:tc>
          <w:tcPr>
            <w:tcW w:w="1090" w:type="dxa"/>
            <w:noWrap w:val="0"/>
            <w:vAlign w:val="center"/>
          </w:tcPr>
          <w:p w14:paraId="2E32F220">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仪器设备场所不能满足工作要求单位数</w:t>
            </w:r>
          </w:p>
        </w:tc>
        <w:tc>
          <w:tcPr>
            <w:tcW w:w="811" w:type="dxa"/>
            <w:noWrap w:val="0"/>
            <w:vAlign w:val="center"/>
          </w:tcPr>
          <w:p w14:paraId="173780DA">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出具虚假证明文件</w:t>
            </w:r>
          </w:p>
        </w:tc>
        <w:tc>
          <w:tcPr>
            <w:tcW w:w="1002" w:type="dxa"/>
            <w:noWrap w:val="0"/>
            <w:vAlign w:val="center"/>
          </w:tcPr>
          <w:p w14:paraId="69D22FDC">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质量控</w:t>
            </w:r>
          </w:p>
          <w:p w14:paraId="69834B7A">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制、程序</w:t>
            </w:r>
          </w:p>
          <w:p w14:paraId="14230512">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不符合相关要求单位数</w:t>
            </w:r>
          </w:p>
        </w:tc>
        <w:tc>
          <w:tcPr>
            <w:tcW w:w="1044" w:type="dxa"/>
            <w:noWrap w:val="0"/>
            <w:vAlign w:val="center"/>
          </w:tcPr>
          <w:p w14:paraId="12958D4A">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档案管理不符合相关要求单位数</w:t>
            </w:r>
          </w:p>
        </w:tc>
        <w:tc>
          <w:tcPr>
            <w:tcW w:w="933" w:type="dxa"/>
            <w:noWrap w:val="0"/>
            <w:vAlign w:val="center"/>
          </w:tcPr>
          <w:p w14:paraId="432F7E9E">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管理制度不符合相关要求单位数</w:t>
            </w:r>
          </w:p>
        </w:tc>
        <w:tc>
          <w:tcPr>
            <w:tcW w:w="791" w:type="dxa"/>
            <w:noWrap w:val="0"/>
            <w:vAlign w:val="center"/>
          </w:tcPr>
          <w:p w14:paraId="1E2B1770">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劳动者保护不符合相关要求单位数</w:t>
            </w:r>
          </w:p>
        </w:tc>
        <w:tc>
          <w:tcPr>
            <w:tcW w:w="1267" w:type="dxa"/>
            <w:noWrap w:val="0"/>
            <w:vAlign w:val="center"/>
          </w:tcPr>
          <w:p w14:paraId="6C741086">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职业健康检查结果、职业禁忌、疑似职业病、职业病的告知、通知、报告不符合相关要求单位数</w:t>
            </w:r>
          </w:p>
        </w:tc>
        <w:tc>
          <w:tcPr>
            <w:tcW w:w="450" w:type="dxa"/>
            <w:noWrap w:val="0"/>
            <w:textDirection w:val="tbRlV"/>
            <w:vAlign w:val="center"/>
          </w:tcPr>
          <w:p w14:paraId="5E2AC422">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案件查处数</w:t>
            </w:r>
          </w:p>
        </w:tc>
        <w:tc>
          <w:tcPr>
            <w:tcW w:w="781" w:type="dxa"/>
            <w:noWrap w:val="0"/>
            <w:vAlign w:val="center"/>
          </w:tcPr>
          <w:p w14:paraId="7DFAE6B8">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罚没款金额</w:t>
            </w:r>
            <w:r>
              <w:rPr>
                <w:rFonts w:hint="eastAsia" w:ascii="仿宋_GB2312" w:hAnsi="仿宋_GB2312" w:eastAsia="仿宋_GB2312" w:cs="仿宋_GB2312"/>
                <w:color w:val="auto"/>
                <w:spacing w:val="0"/>
                <w:w w:val="100"/>
                <w:sz w:val="21"/>
                <w:szCs w:val="21"/>
              </w:rPr>
              <w:br w:type="textWrapping"/>
            </w:r>
            <w:r>
              <w:rPr>
                <w:rFonts w:hint="eastAsia" w:ascii="仿宋_GB2312" w:hAnsi="仿宋_GB2312" w:eastAsia="仿宋_GB2312" w:cs="仿宋_GB2312"/>
                <w:color w:val="auto"/>
                <w:spacing w:val="0"/>
                <w:w w:val="100"/>
                <w:sz w:val="21"/>
                <w:szCs w:val="21"/>
              </w:rPr>
              <w:t>（万元）</w:t>
            </w:r>
          </w:p>
        </w:tc>
      </w:tr>
      <w:tr w14:paraId="455C6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jc w:val="center"/>
        </w:trPr>
        <w:tc>
          <w:tcPr>
            <w:tcW w:w="1725" w:type="dxa"/>
            <w:noWrap w:val="0"/>
            <w:vAlign w:val="center"/>
          </w:tcPr>
          <w:p w14:paraId="1B5E1A40">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职业健康检查机构</w:t>
            </w:r>
          </w:p>
        </w:tc>
        <w:tc>
          <w:tcPr>
            <w:tcW w:w="723" w:type="dxa"/>
            <w:noWrap w:val="0"/>
            <w:vAlign w:val="center"/>
          </w:tcPr>
          <w:p w14:paraId="7E1DDF7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77" w:type="dxa"/>
            <w:noWrap w:val="0"/>
            <w:vAlign w:val="center"/>
          </w:tcPr>
          <w:p w14:paraId="282826E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159" w:type="dxa"/>
            <w:noWrap w:val="0"/>
            <w:vAlign w:val="center"/>
          </w:tcPr>
          <w:p w14:paraId="6A3E69E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981" w:type="dxa"/>
            <w:noWrap w:val="0"/>
            <w:vAlign w:val="center"/>
          </w:tcPr>
          <w:p w14:paraId="132CC1D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941" w:type="dxa"/>
            <w:noWrap w:val="0"/>
            <w:vAlign w:val="center"/>
          </w:tcPr>
          <w:p w14:paraId="185DFCC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090" w:type="dxa"/>
            <w:noWrap w:val="0"/>
            <w:vAlign w:val="center"/>
          </w:tcPr>
          <w:p w14:paraId="24AD6F4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811" w:type="dxa"/>
            <w:noWrap w:val="0"/>
            <w:vAlign w:val="center"/>
          </w:tcPr>
          <w:p w14:paraId="6BB930D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002" w:type="dxa"/>
            <w:noWrap w:val="0"/>
            <w:vAlign w:val="center"/>
          </w:tcPr>
          <w:p w14:paraId="21CA8FB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044" w:type="dxa"/>
            <w:noWrap w:val="0"/>
            <w:vAlign w:val="center"/>
          </w:tcPr>
          <w:p w14:paraId="73A104A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933" w:type="dxa"/>
            <w:noWrap w:val="0"/>
            <w:vAlign w:val="center"/>
          </w:tcPr>
          <w:p w14:paraId="2B599F1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91" w:type="dxa"/>
            <w:noWrap w:val="0"/>
            <w:vAlign w:val="center"/>
          </w:tcPr>
          <w:p w14:paraId="38CB6BE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267" w:type="dxa"/>
            <w:noWrap w:val="0"/>
            <w:vAlign w:val="center"/>
          </w:tcPr>
          <w:p w14:paraId="3556CB6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450" w:type="dxa"/>
            <w:noWrap w:val="0"/>
            <w:vAlign w:val="center"/>
          </w:tcPr>
          <w:p w14:paraId="7958C0E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81" w:type="dxa"/>
            <w:noWrap w:val="0"/>
            <w:vAlign w:val="center"/>
          </w:tcPr>
          <w:p w14:paraId="4E601E0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r>
      <w:tr w14:paraId="54EF0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jc w:val="center"/>
        </w:trPr>
        <w:tc>
          <w:tcPr>
            <w:tcW w:w="1725" w:type="dxa"/>
            <w:noWrap w:val="0"/>
            <w:vAlign w:val="center"/>
          </w:tcPr>
          <w:p w14:paraId="51202A64">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职业病诊断机构</w:t>
            </w:r>
          </w:p>
        </w:tc>
        <w:tc>
          <w:tcPr>
            <w:tcW w:w="723" w:type="dxa"/>
            <w:noWrap w:val="0"/>
            <w:vAlign w:val="center"/>
          </w:tcPr>
          <w:p w14:paraId="12E16C0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77" w:type="dxa"/>
            <w:noWrap w:val="0"/>
            <w:vAlign w:val="center"/>
          </w:tcPr>
          <w:p w14:paraId="27FEE83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159" w:type="dxa"/>
            <w:noWrap w:val="0"/>
            <w:vAlign w:val="center"/>
          </w:tcPr>
          <w:p w14:paraId="5EBDDBA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981" w:type="dxa"/>
            <w:noWrap w:val="0"/>
            <w:vAlign w:val="center"/>
          </w:tcPr>
          <w:p w14:paraId="21A7804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941" w:type="dxa"/>
            <w:noWrap w:val="0"/>
            <w:vAlign w:val="center"/>
          </w:tcPr>
          <w:p w14:paraId="0375E77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090" w:type="dxa"/>
            <w:noWrap w:val="0"/>
            <w:vAlign w:val="center"/>
          </w:tcPr>
          <w:p w14:paraId="5F00A72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811" w:type="dxa"/>
            <w:noWrap w:val="0"/>
            <w:vAlign w:val="center"/>
          </w:tcPr>
          <w:p w14:paraId="0944688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002" w:type="dxa"/>
            <w:noWrap w:val="0"/>
            <w:vAlign w:val="center"/>
          </w:tcPr>
          <w:p w14:paraId="5776553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044" w:type="dxa"/>
            <w:noWrap w:val="0"/>
            <w:vAlign w:val="center"/>
          </w:tcPr>
          <w:p w14:paraId="7808DAE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933" w:type="dxa"/>
            <w:noWrap w:val="0"/>
            <w:vAlign w:val="center"/>
          </w:tcPr>
          <w:p w14:paraId="57B0B57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91" w:type="dxa"/>
            <w:noWrap w:val="0"/>
            <w:vAlign w:val="center"/>
          </w:tcPr>
          <w:p w14:paraId="01BD263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267" w:type="dxa"/>
            <w:noWrap w:val="0"/>
            <w:vAlign w:val="center"/>
          </w:tcPr>
          <w:p w14:paraId="5732A78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450" w:type="dxa"/>
            <w:noWrap w:val="0"/>
            <w:vAlign w:val="center"/>
          </w:tcPr>
          <w:p w14:paraId="6FA0B13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81" w:type="dxa"/>
            <w:noWrap w:val="0"/>
            <w:vAlign w:val="center"/>
          </w:tcPr>
          <w:p w14:paraId="468AE7C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r>
      <w:tr w14:paraId="4899D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1725" w:type="dxa"/>
            <w:noWrap w:val="0"/>
            <w:vAlign w:val="center"/>
          </w:tcPr>
          <w:p w14:paraId="295B9B59">
            <w:pPr>
              <w:pStyle w:val="12"/>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r>
              <w:rPr>
                <w:rFonts w:hint="eastAsia" w:ascii="仿宋_GB2312" w:hAnsi="仿宋_GB2312" w:eastAsia="仿宋_GB2312" w:cs="仿宋_GB2312"/>
                <w:color w:val="auto"/>
                <w:spacing w:val="0"/>
                <w:w w:val="100"/>
                <w:sz w:val="21"/>
                <w:szCs w:val="21"/>
              </w:rPr>
              <w:t>合计</w:t>
            </w:r>
          </w:p>
        </w:tc>
        <w:tc>
          <w:tcPr>
            <w:tcW w:w="723" w:type="dxa"/>
            <w:noWrap w:val="0"/>
            <w:vAlign w:val="center"/>
          </w:tcPr>
          <w:p w14:paraId="54E3F16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77" w:type="dxa"/>
            <w:noWrap w:val="0"/>
            <w:vAlign w:val="center"/>
          </w:tcPr>
          <w:p w14:paraId="29B9D35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159" w:type="dxa"/>
            <w:noWrap w:val="0"/>
            <w:vAlign w:val="center"/>
          </w:tcPr>
          <w:p w14:paraId="4C54F02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981" w:type="dxa"/>
            <w:noWrap w:val="0"/>
            <w:vAlign w:val="center"/>
          </w:tcPr>
          <w:p w14:paraId="27638FD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941" w:type="dxa"/>
            <w:noWrap w:val="0"/>
            <w:vAlign w:val="center"/>
          </w:tcPr>
          <w:p w14:paraId="181EE10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090" w:type="dxa"/>
            <w:noWrap w:val="0"/>
            <w:vAlign w:val="center"/>
          </w:tcPr>
          <w:p w14:paraId="659F7D2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811" w:type="dxa"/>
            <w:noWrap w:val="0"/>
            <w:vAlign w:val="center"/>
          </w:tcPr>
          <w:p w14:paraId="05211FF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002" w:type="dxa"/>
            <w:noWrap w:val="0"/>
            <w:vAlign w:val="center"/>
          </w:tcPr>
          <w:p w14:paraId="54260E5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044" w:type="dxa"/>
            <w:noWrap w:val="0"/>
            <w:vAlign w:val="center"/>
          </w:tcPr>
          <w:p w14:paraId="523F9B1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933" w:type="dxa"/>
            <w:noWrap w:val="0"/>
            <w:vAlign w:val="center"/>
          </w:tcPr>
          <w:p w14:paraId="6C25CED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91" w:type="dxa"/>
            <w:noWrap w:val="0"/>
            <w:vAlign w:val="center"/>
          </w:tcPr>
          <w:p w14:paraId="5E64687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1267" w:type="dxa"/>
            <w:noWrap w:val="0"/>
            <w:vAlign w:val="center"/>
          </w:tcPr>
          <w:p w14:paraId="0C8F089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450" w:type="dxa"/>
            <w:noWrap w:val="0"/>
            <w:vAlign w:val="center"/>
          </w:tcPr>
          <w:p w14:paraId="0A829B8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c>
          <w:tcPr>
            <w:tcW w:w="781" w:type="dxa"/>
            <w:noWrap w:val="0"/>
            <w:vAlign w:val="center"/>
          </w:tcPr>
          <w:p w14:paraId="362BD31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_GB2312" w:hAnsi="仿宋_GB2312" w:eastAsia="仿宋_GB2312" w:cs="仿宋_GB2312"/>
                <w:color w:val="auto"/>
                <w:spacing w:val="0"/>
                <w:w w:val="100"/>
                <w:sz w:val="21"/>
                <w:szCs w:val="21"/>
              </w:rPr>
            </w:pPr>
          </w:p>
        </w:tc>
      </w:tr>
    </w:tbl>
    <w:p w14:paraId="02B58AE1">
      <w:pPr>
        <w:keepNext w:val="0"/>
        <w:keepLines w:val="0"/>
        <w:pageBreakBefore w:val="0"/>
        <w:widowControl w:val="0"/>
        <w:topLinePunct w:val="0"/>
        <w:bidi w:val="0"/>
        <w:adjustRightInd/>
        <w:snapToGrid/>
        <w:rPr>
          <w:rFonts w:ascii="Arial"/>
          <w:color w:val="auto"/>
          <w:sz w:val="21"/>
        </w:rPr>
      </w:pPr>
    </w:p>
    <w:sectPr>
      <w:headerReference r:id="rId5" w:type="default"/>
      <w:footerReference r:id="rId6" w:type="default"/>
      <w:pgSz w:w="16838" w:h="11906" w:orient="landscape"/>
      <w:pgMar w:top="1701" w:right="1417" w:bottom="1417" w:left="1417" w:header="851" w:footer="992" w:gutter="0"/>
      <w:pgNumType w:fmt="decimal"/>
      <w:cols w:space="72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F358D83-6E5C-4209-824D-137E54E827FD}"/>
  </w:font>
  <w:font w:name="黑体">
    <w:panose1 w:val="02010609060101010101"/>
    <w:charset w:val="86"/>
    <w:family w:val="auto"/>
    <w:pitch w:val="default"/>
    <w:sig w:usb0="800002BF" w:usb1="38CF7CFA" w:usb2="00000016" w:usb3="00000000" w:csb0="00040001" w:csb1="00000000"/>
    <w:embedRegular r:id="rId2" w:fontKey="{1399D383-ADAF-4539-9B9A-E1158F4367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5EC0FD1-B7E4-49BB-BC82-FC0C469CF4C2}"/>
  </w:font>
  <w:font w:name="仿宋_GB2312">
    <w:panose1 w:val="02010609030101010101"/>
    <w:charset w:val="86"/>
    <w:family w:val="auto"/>
    <w:pitch w:val="default"/>
    <w:sig w:usb0="00000001" w:usb1="080E0000" w:usb2="00000000" w:usb3="00000000" w:csb0="00040000" w:csb1="00000000"/>
    <w:embedRegular r:id="rId4" w:fontKey="{E5F86204-F6B2-4453-AF69-0B03B6C9C6BE}"/>
  </w:font>
  <w:font w:name="方正小标宋简体">
    <w:panose1 w:val="02000000000000000000"/>
    <w:charset w:val="86"/>
    <w:family w:val="auto"/>
    <w:pitch w:val="default"/>
    <w:sig w:usb0="00000001" w:usb1="08000000" w:usb2="00000000" w:usb3="00000000" w:csb0="00040000" w:csb1="00000000"/>
    <w:embedRegular r:id="rId5" w:fontKey="{B184C3DE-22F2-49BF-8C7A-B39E92AEE755}"/>
  </w:font>
  <w:font w:name="楷体_GB2312">
    <w:panose1 w:val="02010609030101010101"/>
    <w:charset w:val="86"/>
    <w:family w:val="modern"/>
    <w:pitch w:val="default"/>
    <w:sig w:usb0="00000001" w:usb1="080E0000" w:usb2="00000000" w:usb3="00000000" w:csb0="00040000" w:csb1="00000000"/>
    <w:embedRegular r:id="rId6" w:fontKey="{22AE8F4A-FFAF-4A4F-809F-849AA0BFAA70}"/>
  </w:font>
  <w:font w:name="仿宋">
    <w:panose1 w:val="02010609060101010101"/>
    <w:charset w:val="86"/>
    <w:family w:val="auto"/>
    <w:pitch w:val="default"/>
    <w:sig w:usb0="800002BF" w:usb1="38CF7CFA" w:usb2="00000016" w:usb3="00000000" w:csb0="00040001" w:csb1="00000000"/>
    <w:embedRegular r:id="rId7" w:fontKey="{4D4B3B6B-9CE6-47E4-A447-E14E0F6C0D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409A1">
    <w:pPr>
      <w:pStyle w:val="5"/>
      <w:jc w:val="center"/>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F4BF0D">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20</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59264;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8au1NIAAAAHAQAADwAAAAAAAAABACAAAAAiAAAAZHJzL2Rvd25yZXYu&#10;eG1sUEsBAhQAFAAAAAgAh07iQOSi/s/IAQAAmQMAAA4AAAAAAAAAAQAgAAAAIQEAAGRycy9lMm9E&#10;b2MueG1sUEsFBgAAAAAGAAYAWQEAAFsFAAAAAA==&#10;">
              <v:fill on="f" focussize="0,0"/>
              <v:stroke on="f"/>
              <v:imagedata o:title=""/>
              <o:lock v:ext="edit" aspectratio="f"/>
              <v:textbox inset="0mm,0mm,0mm,0mm" style="mso-fit-shape-to-text:t;">
                <w:txbxContent>
                  <w:p w14:paraId="0CF4BF0D">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20</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14:paraId="21A0838C">
    <w:pPr>
      <w:pStyle w:val="5"/>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5E143">
    <w:pPr>
      <w:pStyle w:val="5"/>
      <w:jc w:val="center"/>
      <w:rPr>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30F3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60288;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8au1NIAAAAHAQAADwAAAAAAAAABACAAAAAiAAAAZHJzL2Rvd25yZXYu&#10;eG1sUEsBAhQAFAAAAAgAh07iQDSS+knIAQAAmQMAAA4AAAAAAAAAAQAgAAAAIQEAAGRycy9lMm9E&#10;b2MueG1sUEsFBgAAAAAGAAYAWQEAAFsFAAAAAA==&#10;">
              <v:fill on="f" focussize="0,0"/>
              <v:stroke on="f"/>
              <v:imagedata o:title=""/>
              <o:lock v:ext="edit" aspectratio="f"/>
              <v:textbox inset="0mm,0mm,0mm,0mm" style="mso-fit-shape-to-text:t;">
                <w:txbxContent>
                  <w:p w14:paraId="78D30F3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14:paraId="3707281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42C74">
    <w:pPr>
      <w:pStyle w:val="6"/>
      <w:pBdr>
        <w:bottom w:val="none" w:color="auto" w:sz="0" w:space="0"/>
      </w:pBd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359C9">
    <w:pPr>
      <w:pStyle w:val="6"/>
      <w:pBdr>
        <w:bottom w:val="none" w:color="auto" w:sz="0" w:space="0"/>
      </w:pBd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57F02"/>
    <w:rsid w:val="1106596B"/>
    <w:rsid w:val="1F757F02"/>
    <w:rsid w:val="29362BC9"/>
    <w:rsid w:val="6E570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widowControl w:val="0"/>
      <w:spacing w:after="120"/>
      <w:ind w:firstLine="420" w:firstLineChars="200"/>
      <w:jc w:val="both"/>
    </w:pPr>
    <w:rPr>
      <w:rFonts w:ascii="Calibri" w:hAnsi="Calibri" w:eastAsia="仿宋_GB2312" w:cs="Times New Roman"/>
      <w:kern w:val="2"/>
      <w:sz w:val="32"/>
      <w:szCs w:val="22"/>
      <w:lang w:val="en-US" w:eastAsia="zh-CN" w:bidi="ar-SA"/>
    </w:rPr>
  </w:style>
  <w:style w:type="paragraph" w:styleId="3">
    <w:name w:val="Body Text"/>
    <w:basedOn w:val="1"/>
    <w:next w:val="4"/>
    <w:unhideWhenUsed/>
    <w:qFormat/>
    <w:uiPriority w:val="99"/>
    <w:rPr>
      <w:rFonts w:hint="eastAsia"/>
      <w:sz w:val="52"/>
      <w:szCs w:val="24"/>
    </w:rPr>
  </w:style>
  <w:style w:type="paragraph" w:styleId="4">
    <w:name w:val="Title"/>
    <w:basedOn w:val="1"/>
    <w:next w:val="1"/>
    <w:qFormat/>
    <w:uiPriority w:val="0"/>
    <w:pPr>
      <w:spacing w:before="240" w:after="60"/>
      <w:jc w:val="center"/>
      <w:outlineLvl w:val="0"/>
    </w:pPr>
    <w:rPr>
      <w:rFonts w:ascii="Arial" w:hAnsi="Arial" w:eastAsia="宋体" w:cs="Times New Roman"/>
      <w:b/>
      <w:sz w:val="32"/>
      <w:szCs w:val="24"/>
      <w:lang w:bidi="ar-SA"/>
    </w:rPr>
  </w:style>
  <w:style w:type="paragraph" w:styleId="5">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Table Paragraph"/>
    <w:unhideWhenUsed/>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 w:type="character" w:customStyle="1" w:styleId="14">
    <w:name w:val="font21"/>
    <w:qFormat/>
    <w:uiPriority w:val="0"/>
    <w:rPr>
      <w:rFonts w:hint="eastAsia" w:ascii="宋体" w:hAnsi="宋体" w:eastAsia="宋体" w:cs="宋体"/>
      <w:color w:val="000000"/>
      <w:sz w:val="15"/>
      <w:szCs w:val="15"/>
      <w:u w:val="none"/>
    </w:rPr>
  </w:style>
  <w:style w:type="character" w:customStyle="1" w:styleId="15">
    <w:name w:val="font01"/>
    <w:qFormat/>
    <w:uiPriority w:val="0"/>
    <w:rPr>
      <w:rFonts w:hint="default" w:ascii="Times New Roman" w:hAnsi="Times New Roman" w:cs="Times New Roman"/>
      <w:color w:val="000000"/>
      <w:sz w:val="15"/>
      <w:szCs w:val="15"/>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938</Words>
  <Characters>944</Characters>
  <Lines>0</Lines>
  <Paragraphs>0</Paragraphs>
  <TotalTime>2</TotalTime>
  <ScaleCrop>false</ScaleCrop>
  <LinksUpToDate>false</LinksUpToDate>
  <CharactersWithSpaces>944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2025-06-04T15:09:00Z</dcterms:created>
  <dc:creator>栾晓姣</dc:creator>
  <cp:lastModifiedBy>FAIL</cp:lastModifiedBy>
  <dcterms:modified xsi:type="dcterms:W3CDTF">2025-11-29T08:47:42Z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eyJoZGlkIjoiMDlkMWYzM2RjZTM0MmE5MGUzN2Y4YWQ4N2NhMGIyY2IiLCJ1c2VySWQiOiI0MTQwNTMzODMifQ==</vt:lpwstr>
  </property>
  <property fmtid="{D5CDD505-2E9C-101B-9397-08002B2CF9AE}" pid="4" name="ICV">
    <vt:lpwstr>BDA47ECAF2804F9097A344BBD01CF349_13</vt:lpwstr>
  </property>
</Properties>
</file>